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542F6" w14:textId="1E5421FC" w:rsidR="0096711D" w:rsidRDefault="007E652E" w:rsidP="007D0929">
      <w:pPr>
        <w:pStyle w:val="PlainText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hint="eastAsia"/>
          <w:b/>
          <w:sz w:val="24"/>
        </w:rPr>
        <w:t>拡大科学委員会に対する</w:t>
      </w:r>
      <w:r>
        <w:rPr>
          <w:rFonts w:ascii="Times New Roman" w:hAnsi="Times New Roman" w:hint="eastAsia"/>
          <w:b/>
          <w:sz w:val="24"/>
        </w:rPr>
        <w:t>SBT</w:t>
      </w:r>
      <w:r>
        <w:rPr>
          <w:rFonts w:ascii="Times New Roman" w:hAnsi="Times New Roman" w:hint="eastAsia"/>
          <w:b/>
          <w:sz w:val="24"/>
        </w:rPr>
        <w:t>漁業の国別年次レビューのテンプレート</w:t>
      </w:r>
    </w:p>
    <w:p w14:paraId="079F4883" w14:textId="606A2758" w:rsidR="00FD62B3" w:rsidRPr="00FD62B3" w:rsidRDefault="00FD62B3" w:rsidP="007D0929">
      <w:pPr>
        <w:pStyle w:val="PlainText"/>
        <w:jc w:val="center"/>
        <w:rPr>
          <w:rFonts w:ascii="Times New Roman" w:hAnsi="Times New Roman"/>
          <w:i/>
          <w:sz w:val="18"/>
        </w:rPr>
      </w:pPr>
      <w:r w:rsidRPr="00FD62B3">
        <w:rPr>
          <w:rFonts w:ascii="Times New Roman" w:hAnsi="Times New Roman" w:hint="eastAsia"/>
          <w:i/>
          <w:sz w:val="18"/>
        </w:rPr>
        <w:t>（</w:t>
      </w:r>
      <w:r w:rsidR="00EC2B60">
        <w:rPr>
          <w:rFonts w:ascii="Times New Roman" w:hAnsi="Times New Roman" w:hint="eastAsia"/>
          <w:i/>
          <w:sz w:val="18"/>
        </w:rPr>
        <w:t>第</w:t>
      </w:r>
      <w:r w:rsidR="00EC2B60">
        <w:rPr>
          <w:rFonts w:ascii="Times New Roman" w:hAnsi="Times New Roman" w:hint="eastAsia"/>
          <w:i/>
          <w:sz w:val="18"/>
        </w:rPr>
        <w:t>26</w:t>
      </w:r>
      <w:r w:rsidR="00EC2B60">
        <w:rPr>
          <w:rFonts w:ascii="Times New Roman" w:hAnsi="Times New Roman" w:hint="eastAsia"/>
          <w:i/>
          <w:sz w:val="18"/>
        </w:rPr>
        <w:t>回委員会年次会合（</w:t>
      </w:r>
      <w:r w:rsidR="00EC2B60">
        <w:rPr>
          <w:rFonts w:ascii="Times New Roman" w:hAnsi="Times New Roman" w:hint="eastAsia"/>
          <w:i/>
          <w:sz w:val="18"/>
        </w:rPr>
        <w:t>2019</w:t>
      </w:r>
      <w:r w:rsidR="00EC2B60">
        <w:rPr>
          <w:rFonts w:ascii="Times New Roman" w:hAnsi="Times New Roman" w:hint="eastAsia"/>
          <w:i/>
          <w:sz w:val="18"/>
        </w:rPr>
        <w:t>年</w:t>
      </w:r>
      <w:r w:rsidR="00EC2B60">
        <w:rPr>
          <w:rFonts w:ascii="Times New Roman" w:hAnsi="Times New Roman" w:hint="eastAsia"/>
          <w:i/>
          <w:sz w:val="18"/>
        </w:rPr>
        <w:t>10</w:t>
      </w:r>
      <w:r w:rsidR="00EC2B60">
        <w:rPr>
          <w:rFonts w:ascii="Times New Roman" w:hAnsi="Times New Roman" w:hint="eastAsia"/>
          <w:i/>
          <w:sz w:val="18"/>
        </w:rPr>
        <w:t>月</w:t>
      </w:r>
      <w:r w:rsidR="00EC2B60">
        <w:rPr>
          <w:rFonts w:ascii="Times New Roman" w:hAnsi="Times New Roman" w:hint="eastAsia"/>
          <w:i/>
          <w:sz w:val="18"/>
        </w:rPr>
        <w:t>17</w:t>
      </w:r>
      <w:r w:rsidR="00EC2B60">
        <w:rPr>
          <w:rFonts w:ascii="Times New Roman" w:hAnsi="Times New Roman" w:hint="eastAsia"/>
          <w:i/>
          <w:sz w:val="18"/>
        </w:rPr>
        <w:t>日）</w:t>
      </w:r>
      <w:r w:rsidR="002A0EAB">
        <w:rPr>
          <w:rFonts w:ascii="Times New Roman" w:hAnsi="Times New Roman" w:hint="eastAsia"/>
          <w:i/>
          <w:sz w:val="18"/>
        </w:rPr>
        <w:t>において</w:t>
      </w:r>
      <w:r w:rsidRPr="00FD62B3">
        <w:rPr>
          <w:rFonts w:ascii="Times New Roman" w:hAnsi="Times New Roman" w:hint="eastAsia"/>
          <w:i/>
          <w:sz w:val="18"/>
        </w:rPr>
        <w:t>改正）</w:t>
      </w:r>
    </w:p>
    <w:p w14:paraId="4116946F" w14:textId="6543C808" w:rsidR="0096711D" w:rsidRPr="00A22EC9" w:rsidRDefault="0096711D" w:rsidP="00D65B6A">
      <w:pPr>
        <w:pStyle w:val="PlainText"/>
        <w:spacing w:before="240"/>
        <w:ind w:left="425" w:hanging="425"/>
        <w:jc w:val="left"/>
        <w:rPr>
          <w:rFonts w:ascii="Times New Roman" w:hAnsi="Times New Roman"/>
          <w:sz w:val="24"/>
        </w:rPr>
      </w:pPr>
      <w:r w:rsidRPr="00A22EC9">
        <w:rPr>
          <w:rFonts w:ascii="Times New Roman" w:hAnsi="Times New Roman" w:hint="eastAsia"/>
          <w:sz w:val="24"/>
        </w:rPr>
        <w:t>1.</w:t>
      </w:r>
      <w:r w:rsidRPr="00A22EC9">
        <w:rPr>
          <w:rFonts w:ascii="Times New Roman" w:hAnsi="Times New Roman" w:hint="eastAsia"/>
          <w:sz w:val="24"/>
        </w:rPr>
        <w:tab/>
      </w:r>
      <w:r w:rsidR="007E652E">
        <w:rPr>
          <w:rFonts w:ascii="Times New Roman" w:hAnsi="Times New Roman" w:hint="eastAsia"/>
          <w:sz w:val="24"/>
        </w:rPr>
        <w:t>序論</w:t>
      </w:r>
    </w:p>
    <w:p w14:paraId="1A494197" w14:textId="3EC0C5A9" w:rsidR="0096711D" w:rsidRDefault="007E652E" w:rsidP="00A22EC9">
      <w:pPr>
        <w:pStyle w:val="PlainText"/>
        <w:numPr>
          <w:ilvl w:val="0"/>
          <w:numId w:val="2"/>
        </w:numPr>
        <w:tabs>
          <w:tab w:val="left" w:pos="993"/>
        </w:tabs>
        <w:ind w:left="993" w:hanging="426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背景</w:t>
      </w:r>
    </w:p>
    <w:p w14:paraId="0765FA7A" w14:textId="046BA79C" w:rsidR="0096711D" w:rsidRDefault="007E652E" w:rsidP="00A22EC9">
      <w:pPr>
        <w:pStyle w:val="PlainText"/>
        <w:numPr>
          <w:ilvl w:val="0"/>
          <w:numId w:val="2"/>
        </w:numPr>
        <w:tabs>
          <w:tab w:val="left" w:pos="993"/>
        </w:tabs>
        <w:ind w:left="993" w:hanging="426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漁業の発展の歴史の概要</w:t>
      </w:r>
    </w:p>
    <w:p w14:paraId="6E46CBC5" w14:textId="3109BC87" w:rsidR="0096711D" w:rsidRDefault="007E652E" w:rsidP="00A22EC9">
      <w:pPr>
        <w:pStyle w:val="PlainText"/>
        <w:numPr>
          <w:ilvl w:val="0"/>
          <w:numId w:val="2"/>
        </w:numPr>
        <w:tabs>
          <w:tab w:val="left" w:pos="993"/>
        </w:tabs>
        <w:ind w:left="993" w:hanging="426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直近の漁期の総括</w:t>
      </w:r>
    </w:p>
    <w:p w14:paraId="2D044046" w14:textId="00D432F3" w:rsidR="0096711D" w:rsidRPr="00A22EC9" w:rsidRDefault="007D0929" w:rsidP="00D65B6A">
      <w:pPr>
        <w:pStyle w:val="PlainText"/>
        <w:spacing w:before="120"/>
        <w:ind w:left="425" w:hanging="425"/>
        <w:jc w:val="left"/>
        <w:rPr>
          <w:rFonts w:ascii="Times New Roman" w:hAnsi="Times New Roman"/>
          <w:sz w:val="24"/>
        </w:rPr>
      </w:pPr>
      <w:r w:rsidRPr="00A22EC9">
        <w:rPr>
          <w:rFonts w:ascii="Times New Roman" w:hAnsi="Times New Roman" w:hint="eastAsia"/>
          <w:sz w:val="24"/>
        </w:rPr>
        <w:t>2.</w:t>
      </w:r>
      <w:r w:rsidRPr="00A22EC9">
        <w:rPr>
          <w:rFonts w:ascii="Times New Roman" w:hAnsi="Times New Roman"/>
          <w:sz w:val="24"/>
        </w:rPr>
        <w:tab/>
      </w:r>
      <w:r w:rsidR="007E652E">
        <w:rPr>
          <w:rFonts w:ascii="Times New Roman" w:hAnsi="Times New Roman" w:hint="eastAsia"/>
          <w:sz w:val="24"/>
        </w:rPr>
        <w:t>漁獲量及び漁獲努力量</w:t>
      </w:r>
    </w:p>
    <w:p w14:paraId="17229313" w14:textId="67B35803" w:rsidR="0096711D" w:rsidRDefault="00046FB7" w:rsidP="00A22EC9">
      <w:pPr>
        <w:pStyle w:val="PlainText"/>
        <w:numPr>
          <w:ilvl w:val="0"/>
          <w:numId w:val="2"/>
        </w:numPr>
        <w:tabs>
          <w:tab w:val="left" w:pos="993"/>
        </w:tabs>
        <w:ind w:left="993" w:hanging="426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漁法</w:t>
      </w:r>
      <w:r w:rsidR="007E652E">
        <w:rPr>
          <w:rFonts w:ascii="Times New Roman" w:hAnsi="Times New Roman" w:hint="eastAsia"/>
          <w:sz w:val="24"/>
        </w:rPr>
        <w:t>別（表層及びはえ縄）のトレンド</w:t>
      </w:r>
    </w:p>
    <w:p w14:paraId="24710AFC" w14:textId="66444CB8" w:rsidR="007E652E" w:rsidRPr="007E652E" w:rsidRDefault="007E652E" w:rsidP="007E652E">
      <w:pPr>
        <w:pStyle w:val="PlainText"/>
        <w:numPr>
          <w:ilvl w:val="0"/>
          <w:numId w:val="2"/>
        </w:numPr>
        <w:tabs>
          <w:tab w:val="left" w:pos="993"/>
        </w:tabs>
        <w:ind w:left="993" w:hanging="426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海域別・</w:t>
      </w:r>
      <w:r w:rsidR="00046FB7">
        <w:rPr>
          <w:rFonts w:ascii="Times New Roman" w:hAnsi="Times New Roman" w:hint="eastAsia"/>
          <w:sz w:val="24"/>
        </w:rPr>
        <w:t>漁期</w:t>
      </w:r>
      <w:r>
        <w:rPr>
          <w:rFonts w:ascii="Times New Roman" w:hAnsi="Times New Roman" w:hint="eastAsia"/>
          <w:sz w:val="24"/>
        </w:rPr>
        <w:t>別のトレンド</w:t>
      </w:r>
    </w:p>
    <w:p w14:paraId="1FBF192D" w14:textId="65402E25" w:rsidR="0096711D" w:rsidRPr="00D65B6A" w:rsidRDefault="007E652E" w:rsidP="00A22EC9">
      <w:pPr>
        <w:pStyle w:val="PlainText"/>
        <w:tabs>
          <w:tab w:val="left" w:pos="567"/>
        </w:tabs>
        <w:ind w:left="567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 w:hint="eastAsia"/>
          <w:i/>
          <w:sz w:val="24"/>
        </w:rPr>
        <w:t>（表には、上記の階層による漁獲量及び漁獲努力量、並びに漁業の歴史全体の合計を含むべきである）</w:t>
      </w:r>
    </w:p>
    <w:p w14:paraId="01358C99" w14:textId="264476A7" w:rsidR="0096711D" w:rsidRPr="00A22EC9" w:rsidRDefault="0096711D" w:rsidP="00D65B6A">
      <w:pPr>
        <w:pStyle w:val="PlainText"/>
        <w:spacing w:before="120"/>
        <w:ind w:left="425" w:hanging="425"/>
        <w:jc w:val="left"/>
        <w:rPr>
          <w:rFonts w:ascii="Times New Roman" w:hAnsi="Times New Roman"/>
          <w:sz w:val="24"/>
        </w:rPr>
      </w:pPr>
      <w:r w:rsidRPr="00A22EC9">
        <w:rPr>
          <w:rFonts w:ascii="Times New Roman" w:hAnsi="Times New Roman" w:hint="eastAsia"/>
          <w:sz w:val="24"/>
        </w:rPr>
        <w:t>3.</w:t>
      </w:r>
      <w:r w:rsidR="007D0929" w:rsidRPr="00A22EC9">
        <w:rPr>
          <w:rFonts w:ascii="Times New Roman" w:hAnsi="Times New Roman"/>
          <w:sz w:val="24"/>
        </w:rPr>
        <w:tab/>
      </w:r>
      <w:r w:rsidR="007E652E">
        <w:rPr>
          <w:rFonts w:ascii="Times New Roman" w:hAnsi="Times New Roman" w:hint="eastAsia"/>
          <w:sz w:val="24"/>
        </w:rPr>
        <w:t>ノミナル</w:t>
      </w:r>
      <w:r w:rsidR="007E652E">
        <w:rPr>
          <w:rFonts w:ascii="Times New Roman" w:hAnsi="Times New Roman" w:hint="eastAsia"/>
          <w:sz w:val="24"/>
        </w:rPr>
        <w:t>CPUE</w:t>
      </w:r>
    </w:p>
    <w:p w14:paraId="7E5F745D" w14:textId="28D34D46" w:rsidR="0096711D" w:rsidRPr="007D441F" w:rsidRDefault="007E652E" w:rsidP="007D441F">
      <w:pPr>
        <w:pStyle w:val="PlainText"/>
        <w:ind w:left="426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必要に応じて、</w:t>
      </w:r>
    </w:p>
    <w:p w14:paraId="2F000920" w14:textId="064C4FAF" w:rsidR="0096711D" w:rsidRDefault="00046FB7" w:rsidP="00A22EC9">
      <w:pPr>
        <w:pStyle w:val="PlainText"/>
        <w:numPr>
          <w:ilvl w:val="0"/>
          <w:numId w:val="2"/>
        </w:numPr>
        <w:tabs>
          <w:tab w:val="left" w:pos="993"/>
        </w:tabs>
        <w:ind w:left="993" w:hanging="426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漁法</w:t>
      </w:r>
      <w:r w:rsidR="007E652E">
        <w:rPr>
          <w:rFonts w:ascii="Times New Roman" w:hAnsi="Times New Roman" w:hint="eastAsia"/>
          <w:sz w:val="24"/>
        </w:rPr>
        <w:t>別（表層及びはえ縄）のトレンド</w:t>
      </w:r>
    </w:p>
    <w:p w14:paraId="2F6AE0E0" w14:textId="27296645" w:rsidR="0096711D" w:rsidRDefault="007E652E" w:rsidP="00A22EC9">
      <w:pPr>
        <w:pStyle w:val="PlainText"/>
        <w:numPr>
          <w:ilvl w:val="0"/>
          <w:numId w:val="2"/>
        </w:numPr>
        <w:tabs>
          <w:tab w:val="left" w:pos="993"/>
        </w:tabs>
        <w:ind w:left="993" w:hanging="426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海域別・</w:t>
      </w:r>
      <w:r w:rsidR="00046FB7">
        <w:rPr>
          <w:rFonts w:ascii="Times New Roman" w:hAnsi="Times New Roman" w:hint="eastAsia"/>
          <w:sz w:val="24"/>
        </w:rPr>
        <w:t>漁期</w:t>
      </w:r>
      <w:r>
        <w:rPr>
          <w:rFonts w:ascii="Times New Roman" w:hAnsi="Times New Roman" w:hint="eastAsia"/>
          <w:sz w:val="24"/>
        </w:rPr>
        <w:t>別のトレンド</w:t>
      </w:r>
    </w:p>
    <w:p w14:paraId="3241B975" w14:textId="7A452175" w:rsidR="0096711D" w:rsidRPr="00D65B6A" w:rsidRDefault="007E652E" w:rsidP="00A22EC9">
      <w:pPr>
        <w:pStyle w:val="PlainText"/>
        <w:tabs>
          <w:tab w:val="left" w:pos="567"/>
        </w:tabs>
        <w:ind w:left="567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 w:hint="eastAsia"/>
          <w:i/>
          <w:sz w:val="24"/>
        </w:rPr>
        <w:t>（表には、上記の階層によるノミナル</w:t>
      </w:r>
      <w:r>
        <w:rPr>
          <w:rFonts w:ascii="Times New Roman" w:hAnsi="Times New Roman" w:hint="eastAsia"/>
          <w:i/>
          <w:sz w:val="24"/>
        </w:rPr>
        <w:t>CPUE</w:t>
      </w:r>
      <w:r>
        <w:rPr>
          <w:rFonts w:ascii="Times New Roman" w:hAnsi="Times New Roman" w:hint="eastAsia"/>
          <w:i/>
          <w:sz w:val="24"/>
        </w:rPr>
        <w:t>、並びに漁業の歴史全体の合計を含むべきである）</w:t>
      </w:r>
    </w:p>
    <w:p w14:paraId="1E748D4E" w14:textId="69BCDB90" w:rsidR="0096711D" w:rsidRPr="00A22EC9" w:rsidRDefault="0096711D" w:rsidP="00D65B6A">
      <w:pPr>
        <w:pStyle w:val="PlainText"/>
        <w:spacing w:before="120"/>
        <w:ind w:left="425" w:hanging="425"/>
        <w:jc w:val="left"/>
        <w:rPr>
          <w:rFonts w:ascii="Times New Roman" w:hAnsi="Times New Roman"/>
          <w:sz w:val="24"/>
        </w:rPr>
      </w:pPr>
      <w:r w:rsidRPr="00A22EC9">
        <w:rPr>
          <w:rFonts w:ascii="Times New Roman" w:hAnsi="Times New Roman" w:hint="eastAsia"/>
          <w:sz w:val="24"/>
        </w:rPr>
        <w:t>4.</w:t>
      </w:r>
      <w:r w:rsidRPr="00A22EC9">
        <w:rPr>
          <w:rFonts w:ascii="Times New Roman" w:hAnsi="Times New Roman" w:hint="eastAsia"/>
          <w:sz w:val="24"/>
        </w:rPr>
        <w:tab/>
      </w:r>
      <w:r w:rsidR="007E652E">
        <w:rPr>
          <w:rFonts w:ascii="Times New Roman" w:hAnsi="Times New Roman" w:hint="eastAsia"/>
          <w:sz w:val="24"/>
        </w:rPr>
        <w:t>サイズ組成</w:t>
      </w:r>
    </w:p>
    <w:p w14:paraId="785DADF8" w14:textId="4A17647D" w:rsidR="0096711D" w:rsidRDefault="00046FB7" w:rsidP="00A22EC9">
      <w:pPr>
        <w:pStyle w:val="PlainText"/>
        <w:numPr>
          <w:ilvl w:val="0"/>
          <w:numId w:val="2"/>
        </w:numPr>
        <w:tabs>
          <w:tab w:val="left" w:pos="993"/>
        </w:tabs>
        <w:ind w:left="993" w:hanging="426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漁法</w:t>
      </w:r>
      <w:r w:rsidR="007E652E">
        <w:rPr>
          <w:rFonts w:ascii="Times New Roman" w:hAnsi="Times New Roman" w:hint="eastAsia"/>
          <w:sz w:val="24"/>
        </w:rPr>
        <w:t>別（表層及びはえ縄）のトレンド</w:t>
      </w:r>
    </w:p>
    <w:p w14:paraId="3CE7EB9F" w14:textId="7E76E101" w:rsidR="0096711D" w:rsidRDefault="007E652E" w:rsidP="00A22EC9">
      <w:pPr>
        <w:pStyle w:val="PlainText"/>
        <w:numPr>
          <w:ilvl w:val="0"/>
          <w:numId w:val="2"/>
        </w:numPr>
        <w:tabs>
          <w:tab w:val="left" w:pos="993"/>
        </w:tabs>
        <w:ind w:left="993" w:hanging="426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海域別・</w:t>
      </w:r>
      <w:r w:rsidR="00046FB7">
        <w:rPr>
          <w:rFonts w:ascii="Times New Roman" w:hAnsi="Times New Roman" w:hint="eastAsia"/>
          <w:sz w:val="24"/>
        </w:rPr>
        <w:t>漁期</w:t>
      </w:r>
      <w:r>
        <w:rPr>
          <w:rFonts w:ascii="Times New Roman" w:hAnsi="Times New Roman" w:hint="eastAsia"/>
          <w:sz w:val="24"/>
        </w:rPr>
        <w:t>別のトレンド</w:t>
      </w:r>
    </w:p>
    <w:p w14:paraId="2846F53A" w14:textId="31A2DC26" w:rsidR="0096711D" w:rsidRPr="00D65B6A" w:rsidRDefault="007E652E" w:rsidP="00A22EC9">
      <w:pPr>
        <w:pStyle w:val="PlainText"/>
        <w:tabs>
          <w:tab w:val="left" w:pos="567"/>
        </w:tabs>
        <w:ind w:left="567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 w:hint="eastAsia"/>
          <w:i/>
          <w:sz w:val="24"/>
        </w:rPr>
        <w:t>（数値には、各</w:t>
      </w:r>
      <w:r>
        <w:rPr>
          <w:rFonts w:ascii="Times New Roman" w:hAnsi="Times New Roman" w:hint="eastAsia"/>
          <w:i/>
          <w:sz w:val="24"/>
        </w:rPr>
        <w:t>10</w:t>
      </w:r>
      <w:r>
        <w:rPr>
          <w:rFonts w:ascii="Times New Roman" w:hAnsi="Times New Roman" w:hint="eastAsia"/>
          <w:i/>
          <w:sz w:val="24"/>
        </w:rPr>
        <w:t>年間ごとの</w:t>
      </w:r>
      <w:r w:rsidR="00046FB7">
        <w:rPr>
          <w:rFonts w:ascii="Times New Roman" w:hAnsi="Times New Roman" w:hint="eastAsia"/>
          <w:i/>
          <w:sz w:val="24"/>
        </w:rPr>
        <w:t>漁法</w:t>
      </w:r>
      <w:r>
        <w:rPr>
          <w:rFonts w:ascii="Times New Roman" w:hAnsi="Times New Roman" w:hint="eastAsia"/>
          <w:i/>
          <w:sz w:val="24"/>
        </w:rPr>
        <w:t>別の平均サイズ組成分布、並びに</w:t>
      </w:r>
      <w:r w:rsidR="00046FB7">
        <w:rPr>
          <w:rFonts w:ascii="Times New Roman" w:hAnsi="Times New Roman" w:hint="eastAsia"/>
          <w:i/>
          <w:sz w:val="24"/>
        </w:rPr>
        <w:t>直近</w:t>
      </w:r>
      <w:r>
        <w:rPr>
          <w:rFonts w:ascii="Times New Roman" w:hAnsi="Times New Roman" w:hint="eastAsia"/>
          <w:i/>
          <w:sz w:val="24"/>
        </w:rPr>
        <w:t>5</w:t>
      </w:r>
      <w:r>
        <w:rPr>
          <w:rFonts w:ascii="Times New Roman" w:hAnsi="Times New Roman" w:hint="eastAsia"/>
          <w:i/>
          <w:sz w:val="24"/>
        </w:rPr>
        <w:t>年の</w:t>
      </w:r>
      <w:r w:rsidR="00046FB7">
        <w:rPr>
          <w:rFonts w:ascii="Times New Roman" w:hAnsi="Times New Roman" w:hint="eastAsia"/>
          <w:i/>
          <w:sz w:val="24"/>
        </w:rPr>
        <w:t>各年における</w:t>
      </w:r>
      <w:r>
        <w:rPr>
          <w:rFonts w:ascii="Times New Roman" w:hAnsi="Times New Roman" w:hint="eastAsia"/>
          <w:i/>
          <w:sz w:val="24"/>
        </w:rPr>
        <w:t>サイズ組成を含むべきである）</w:t>
      </w:r>
    </w:p>
    <w:p w14:paraId="453A69F8" w14:textId="48C4E497" w:rsidR="0096711D" w:rsidRPr="00A22EC9" w:rsidRDefault="0096711D" w:rsidP="00D65B6A">
      <w:pPr>
        <w:pStyle w:val="PlainText"/>
        <w:spacing w:before="120"/>
        <w:ind w:left="425" w:hanging="425"/>
        <w:jc w:val="left"/>
        <w:rPr>
          <w:rFonts w:ascii="Times New Roman" w:hAnsi="Times New Roman"/>
          <w:sz w:val="24"/>
        </w:rPr>
      </w:pPr>
      <w:r w:rsidRPr="00A22EC9">
        <w:rPr>
          <w:rFonts w:ascii="Times New Roman" w:hAnsi="Times New Roman" w:hint="eastAsia"/>
          <w:sz w:val="24"/>
        </w:rPr>
        <w:t>5.</w:t>
      </w:r>
      <w:r w:rsidRPr="00A22EC9">
        <w:rPr>
          <w:rFonts w:ascii="Times New Roman" w:hAnsi="Times New Roman" w:hint="eastAsia"/>
          <w:sz w:val="24"/>
        </w:rPr>
        <w:tab/>
      </w:r>
      <w:r w:rsidR="00046FB7">
        <w:rPr>
          <w:rFonts w:ascii="Times New Roman" w:hAnsi="Times New Roman" w:hint="eastAsia"/>
          <w:sz w:val="24"/>
        </w:rPr>
        <w:t>船団の規模及び分布</w:t>
      </w:r>
    </w:p>
    <w:p w14:paraId="6D0015E6" w14:textId="56D2B6FC" w:rsidR="0096711D" w:rsidRDefault="00046FB7" w:rsidP="00A22EC9">
      <w:pPr>
        <w:pStyle w:val="PlainText"/>
        <w:numPr>
          <w:ilvl w:val="0"/>
          <w:numId w:val="2"/>
        </w:numPr>
        <w:tabs>
          <w:tab w:val="left" w:pos="993"/>
        </w:tabs>
        <w:ind w:left="993" w:hanging="426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漁期別のトレンド</w:t>
      </w:r>
    </w:p>
    <w:p w14:paraId="37550B58" w14:textId="38C12701" w:rsidR="0096711D" w:rsidRDefault="00046FB7" w:rsidP="00A22EC9">
      <w:pPr>
        <w:pStyle w:val="PlainText"/>
        <w:numPr>
          <w:ilvl w:val="0"/>
          <w:numId w:val="2"/>
        </w:numPr>
        <w:tabs>
          <w:tab w:val="left" w:pos="993"/>
        </w:tabs>
        <w:ind w:left="993" w:hanging="426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海域別のトレンド</w:t>
      </w:r>
    </w:p>
    <w:p w14:paraId="54A1134C" w14:textId="43D69BD4" w:rsidR="0096711D" w:rsidRDefault="00046FB7" w:rsidP="00060843">
      <w:pPr>
        <w:pStyle w:val="PlainText"/>
        <w:tabs>
          <w:tab w:val="left" w:pos="567"/>
        </w:tabs>
        <w:spacing w:after="120"/>
        <w:ind w:left="567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 w:hint="eastAsia"/>
          <w:i/>
          <w:sz w:val="24"/>
        </w:rPr>
        <w:t>（図には、漁業の歴史全体における漁法別の漁獲量及び漁獲努力量、並びに直近</w:t>
      </w:r>
      <w:r>
        <w:rPr>
          <w:rFonts w:ascii="Times New Roman" w:hAnsi="Times New Roman" w:hint="eastAsia"/>
          <w:i/>
          <w:sz w:val="24"/>
        </w:rPr>
        <w:t>5</w:t>
      </w:r>
      <w:r>
        <w:rPr>
          <w:rFonts w:ascii="Times New Roman" w:hAnsi="Times New Roman" w:hint="eastAsia"/>
          <w:i/>
          <w:sz w:val="24"/>
        </w:rPr>
        <w:t>年の各年における漁獲量及び漁獲努力量を含むべきである）</w:t>
      </w:r>
    </w:p>
    <w:p w14:paraId="38835B53" w14:textId="36F7A947" w:rsidR="00397B28" w:rsidRDefault="009B26BD" w:rsidP="00C75AD9">
      <w:pPr>
        <w:pStyle w:val="PlainText"/>
        <w:tabs>
          <w:tab w:val="left" w:pos="567"/>
        </w:tabs>
        <w:ind w:left="426" w:hanging="426"/>
        <w:jc w:val="left"/>
        <w:rPr>
          <w:rFonts w:ascii="Times New Roman" w:hAnsi="Times New Roman"/>
          <w:sz w:val="24"/>
        </w:rPr>
      </w:pPr>
      <w:r w:rsidRPr="002240BF">
        <w:rPr>
          <w:rFonts w:ascii="Times New Roman" w:hAnsi="Times New Roman"/>
          <w:sz w:val="24"/>
        </w:rPr>
        <w:t>6.</w:t>
      </w:r>
      <w:r w:rsidR="00030C29" w:rsidRPr="002240BF">
        <w:rPr>
          <w:rFonts w:ascii="Times New Roman" w:hAnsi="Times New Roman"/>
          <w:sz w:val="24"/>
        </w:rPr>
        <w:tab/>
      </w:r>
      <w:r w:rsidR="00930864">
        <w:rPr>
          <w:rFonts w:ascii="Times New Roman" w:hAnsi="Times New Roman" w:hint="eastAsia"/>
          <w:sz w:val="24"/>
        </w:rPr>
        <w:t>帰属漁獲量</w:t>
      </w:r>
      <w:r w:rsidR="009C2AA0">
        <w:rPr>
          <w:rFonts w:ascii="Times New Roman" w:hAnsi="Times New Roman" w:hint="eastAsia"/>
          <w:sz w:val="24"/>
        </w:rPr>
        <w:t>の各要素にかかる推定値を改善するための調査及びモニタリング</w:t>
      </w:r>
    </w:p>
    <w:p w14:paraId="7005F6E9" w14:textId="6643D5FF" w:rsidR="00397B28" w:rsidRPr="00C75AD9" w:rsidRDefault="00141ADF" w:rsidP="00C75AD9">
      <w:pPr>
        <w:pStyle w:val="PlainText"/>
        <w:numPr>
          <w:ilvl w:val="0"/>
          <w:numId w:val="17"/>
        </w:numPr>
        <w:spacing w:before="120"/>
        <w:ind w:hanging="294"/>
        <w:jc w:val="left"/>
        <w:rPr>
          <w:rFonts w:ascii="Times New Roman" w:hAnsi="Times New Roman"/>
          <w:iCs/>
          <w:sz w:val="24"/>
        </w:rPr>
      </w:pPr>
      <w:r w:rsidRPr="00C75AD9">
        <w:rPr>
          <w:rFonts w:ascii="Times New Roman" w:hAnsi="Times New Roman" w:hint="eastAsia"/>
          <w:iCs/>
          <w:sz w:val="24"/>
        </w:rPr>
        <w:t>放流及び／又は投棄</w:t>
      </w:r>
    </w:p>
    <w:p w14:paraId="7DE83B36" w14:textId="5D721144" w:rsidR="00397B28" w:rsidRPr="00D54EBD" w:rsidRDefault="00E35F5B" w:rsidP="00397B28">
      <w:pPr>
        <w:pStyle w:val="PlainText"/>
        <w:numPr>
          <w:ilvl w:val="0"/>
          <w:numId w:val="16"/>
        </w:numPr>
        <w:tabs>
          <w:tab w:val="left" w:pos="567"/>
        </w:tabs>
        <w:ind w:left="113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推定値</w:t>
      </w:r>
      <w:r w:rsidR="00885823">
        <w:rPr>
          <w:rFonts w:ascii="Times New Roman" w:hAnsi="Times New Roman" w:hint="eastAsia"/>
          <w:sz w:val="24"/>
        </w:rPr>
        <w:t>の計算に用いた各種情報及びデータのソースを説明すること</w:t>
      </w:r>
      <w:r w:rsidR="0083622B">
        <w:rPr>
          <w:rFonts w:ascii="Times New Roman" w:hAnsi="Times New Roman" w:hint="eastAsia"/>
          <w:sz w:val="24"/>
        </w:rPr>
        <w:t>。</w:t>
      </w:r>
    </w:p>
    <w:p w14:paraId="51349548" w14:textId="21C2650D" w:rsidR="00397B28" w:rsidRPr="00D54EBD" w:rsidRDefault="00BC6416" w:rsidP="00397B28">
      <w:pPr>
        <w:pStyle w:val="PlainText"/>
        <w:numPr>
          <w:ilvl w:val="0"/>
          <w:numId w:val="16"/>
        </w:numPr>
        <w:tabs>
          <w:tab w:val="left" w:pos="567"/>
        </w:tabs>
        <w:ind w:left="113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漁獲量の推定に用いた手法について説明すること。</w:t>
      </w:r>
    </w:p>
    <w:p w14:paraId="694FBF00" w14:textId="7E73833A" w:rsidR="00397B28" w:rsidRPr="00D54EBD" w:rsidRDefault="00661A53" w:rsidP="00397B28">
      <w:pPr>
        <w:pStyle w:val="PlainText"/>
        <w:numPr>
          <w:ilvl w:val="0"/>
          <w:numId w:val="16"/>
        </w:numPr>
        <w:tabs>
          <w:tab w:val="left" w:pos="567"/>
        </w:tabs>
        <w:ind w:left="113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漁獲量の推定結果を示すこと。</w:t>
      </w:r>
    </w:p>
    <w:p w14:paraId="335F46A8" w14:textId="79E09D91" w:rsidR="00397B28" w:rsidRPr="007D441F" w:rsidRDefault="00661A53" w:rsidP="00397B28">
      <w:pPr>
        <w:pStyle w:val="PlainText"/>
        <w:numPr>
          <w:ilvl w:val="0"/>
          <w:numId w:val="17"/>
        </w:numPr>
        <w:spacing w:before="120"/>
        <w:ind w:hanging="29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遊漁</w:t>
      </w:r>
    </w:p>
    <w:p w14:paraId="692664D5" w14:textId="4619C701" w:rsidR="00397B28" w:rsidRPr="00D54EBD" w:rsidRDefault="00661A53" w:rsidP="00397B28">
      <w:pPr>
        <w:pStyle w:val="PlainText"/>
        <w:numPr>
          <w:ilvl w:val="0"/>
          <w:numId w:val="16"/>
        </w:numPr>
        <w:tabs>
          <w:tab w:val="left" w:pos="567"/>
        </w:tabs>
        <w:ind w:left="113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推定値の計算に用いた各種情報及びデータのソースを説明すること。</w:t>
      </w:r>
    </w:p>
    <w:p w14:paraId="00F73C5D" w14:textId="6AA4DCA7" w:rsidR="00397B28" w:rsidRPr="00D54EBD" w:rsidRDefault="008D283B" w:rsidP="00397B28">
      <w:pPr>
        <w:pStyle w:val="PlainText"/>
        <w:numPr>
          <w:ilvl w:val="0"/>
          <w:numId w:val="16"/>
        </w:numPr>
        <w:tabs>
          <w:tab w:val="left" w:pos="567"/>
        </w:tabs>
        <w:ind w:left="113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漁獲量の推定に用いた手法について説明すること。</w:t>
      </w:r>
    </w:p>
    <w:p w14:paraId="27D36E5D" w14:textId="2ECE3414" w:rsidR="00397B28" w:rsidRPr="00D54EBD" w:rsidRDefault="008D283B" w:rsidP="00397B28">
      <w:pPr>
        <w:pStyle w:val="PlainText"/>
        <w:numPr>
          <w:ilvl w:val="0"/>
          <w:numId w:val="16"/>
        </w:numPr>
        <w:tabs>
          <w:tab w:val="left" w:pos="567"/>
        </w:tabs>
        <w:ind w:left="113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漁獲量の推定結果を示すこと。</w:t>
      </w:r>
    </w:p>
    <w:p w14:paraId="753DB090" w14:textId="10903ACA" w:rsidR="00397B28" w:rsidRPr="007D441F" w:rsidRDefault="002823AA" w:rsidP="00397B28">
      <w:pPr>
        <w:pStyle w:val="PlainText"/>
        <w:numPr>
          <w:ilvl w:val="0"/>
          <w:numId w:val="17"/>
        </w:numPr>
        <w:spacing w:before="120"/>
        <w:ind w:hanging="29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iCs/>
          <w:sz w:val="24"/>
        </w:rPr>
        <w:t>慣習的及び／又は伝統的漁業</w:t>
      </w:r>
    </w:p>
    <w:p w14:paraId="5AAB744B" w14:textId="1BD1D54C" w:rsidR="00397B28" w:rsidRPr="00D54EBD" w:rsidRDefault="00115097" w:rsidP="00397B28">
      <w:pPr>
        <w:pStyle w:val="PlainText"/>
        <w:numPr>
          <w:ilvl w:val="0"/>
          <w:numId w:val="16"/>
        </w:numPr>
        <w:tabs>
          <w:tab w:val="left" w:pos="567"/>
        </w:tabs>
        <w:ind w:left="113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推定値の計算に用いた各種情報及びデータのソースを説明すること。</w:t>
      </w:r>
    </w:p>
    <w:p w14:paraId="7E9939BC" w14:textId="7D0897A1" w:rsidR="00397B28" w:rsidRPr="00D54EBD" w:rsidRDefault="00115097" w:rsidP="00397B28">
      <w:pPr>
        <w:pStyle w:val="PlainText"/>
        <w:numPr>
          <w:ilvl w:val="0"/>
          <w:numId w:val="16"/>
        </w:numPr>
        <w:tabs>
          <w:tab w:val="left" w:pos="567"/>
        </w:tabs>
        <w:ind w:left="113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漁獲量の推定に用いた手法について説明すること。</w:t>
      </w:r>
    </w:p>
    <w:p w14:paraId="5748CEFE" w14:textId="262A8C39" w:rsidR="00397B28" w:rsidRPr="00D54EBD" w:rsidRDefault="00115097" w:rsidP="00397B28">
      <w:pPr>
        <w:pStyle w:val="PlainText"/>
        <w:numPr>
          <w:ilvl w:val="0"/>
          <w:numId w:val="16"/>
        </w:numPr>
        <w:tabs>
          <w:tab w:val="left" w:pos="567"/>
        </w:tabs>
        <w:ind w:left="113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漁獲量の推定結果を示すこと。</w:t>
      </w:r>
    </w:p>
    <w:p w14:paraId="1F39BD1E" w14:textId="70724FD6" w:rsidR="00397B28" w:rsidRPr="007D441F" w:rsidRDefault="00115097" w:rsidP="00397B28">
      <w:pPr>
        <w:pStyle w:val="PlainText"/>
        <w:numPr>
          <w:ilvl w:val="0"/>
          <w:numId w:val="17"/>
        </w:numPr>
        <w:spacing w:before="120"/>
        <w:ind w:hanging="29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lastRenderedPageBreak/>
        <w:t>沿岸零細漁業</w:t>
      </w:r>
    </w:p>
    <w:p w14:paraId="0518EF62" w14:textId="463856FB" w:rsidR="00397B28" w:rsidRPr="00D54EBD" w:rsidRDefault="00115097" w:rsidP="00397B28">
      <w:pPr>
        <w:pStyle w:val="PlainText"/>
        <w:numPr>
          <w:ilvl w:val="0"/>
          <w:numId w:val="16"/>
        </w:numPr>
        <w:tabs>
          <w:tab w:val="left" w:pos="567"/>
        </w:tabs>
        <w:ind w:left="113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推定値の計算に用いた各種情報及びデータのソースを説明すること。</w:t>
      </w:r>
    </w:p>
    <w:p w14:paraId="28A44105" w14:textId="5C060D06" w:rsidR="00397B28" w:rsidRPr="00D54EBD" w:rsidRDefault="00115097" w:rsidP="00397B28">
      <w:pPr>
        <w:pStyle w:val="PlainText"/>
        <w:numPr>
          <w:ilvl w:val="0"/>
          <w:numId w:val="16"/>
        </w:numPr>
        <w:tabs>
          <w:tab w:val="left" w:pos="567"/>
        </w:tabs>
        <w:ind w:left="113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漁獲量の推定に用いた手法について説明すること。</w:t>
      </w:r>
    </w:p>
    <w:p w14:paraId="405F1C0E" w14:textId="693554D3" w:rsidR="00397B28" w:rsidRPr="00D54EBD" w:rsidRDefault="00115097" w:rsidP="00397B28">
      <w:pPr>
        <w:pStyle w:val="PlainText"/>
        <w:numPr>
          <w:ilvl w:val="0"/>
          <w:numId w:val="16"/>
        </w:numPr>
        <w:tabs>
          <w:tab w:val="left" w:pos="567"/>
        </w:tabs>
        <w:ind w:left="113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漁獲量の推定結果を示すこと。</w:t>
      </w:r>
    </w:p>
    <w:p w14:paraId="7A84A24D" w14:textId="23052063" w:rsidR="000137A5" w:rsidRPr="00A22EC9" w:rsidRDefault="00A2223D" w:rsidP="00D65B6A">
      <w:pPr>
        <w:pStyle w:val="PlainText"/>
        <w:spacing w:before="120"/>
        <w:ind w:left="425" w:hanging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0137A5" w:rsidRPr="00A22EC9">
        <w:rPr>
          <w:rFonts w:ascii="Times New Roman" w:hAnsi="Times New Roman" w:hint="eastAsia"/>
          <w:sz w:val="24"/>
        </w:rPr>
        <w:t>.</w:t>
      </w:r>
      <w:r w:rsidR="000137A5" w:rsidRPr="00A22EC9">
        <w:rPr>
          <w:rFonts w:ascii="Times New Roman" w:hAnsi="Times New Roman" w:hint="eastAsia"/>
          <w:sz w:val="24"/>
        </w:rPr>
        <w:tab/>
      </w:r>
      <w:r w:rsidR="004729BD">
        <w:rPr>
          <w:rFonts w:ascii="Times New Roman" w:hAnsi="Times New Roman" w:hint="eastAsia"/>
          <w:sz w:val="24"/>
        </w:rPr>
        <w:t>科学オブザーバー計画の策定及び実施</w:t>
      </w:r>
      <w:r w:rsidR="00827EE4">
        <w:rPr>
          <w:rStyle w:val="FootnoteReference"/>
          <w:rFonts w:ascii="Times New Roman" w:hAnsi="Times New Roman"/>
          <w:sz w:val="24"/>
        </w:rPr>
        <w:footnoteReference w:id="1"/>
      </w:r>
    </w:p>
    <w:p w14:paraId="4D535C4F" w14:textId="099531C5" w:rsidR="00517340" w:rsidRDefault="004729BD" w:rsidP="00517340">
      <w:pPr>
        <w:pStyle w:val="PlainText"/>
        <w:numPr>
          <w:ilvl w:val="0"/>
          <w:numId w:val="8"/>
        </w:numPr>
        <w:tabs>
          <w:tab w:val="left" w:pos="993"/>
        </w:tabs>
        <w:ind w:left="993" w:hanging="426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サンプリング方法及びメンバー／</w:t>
      </w:r>
      <w:r>
        <w:rPr>
          <w:rFonts w:ascii="Times New Roman" w:hAnsi="Times New Roman" w:hint="eastAsia"/>
          <w:sz w:val="24"/>
        </w:rPr>
        <w:t>CNM</w:t>
      </w:r>
      <w:r>
        <w:rPr>
          <w:rFonts w:ascii="Times New Roman" w:hAnsi="Times New Roman" w:hint="eastAsia"/>
          <w:sz w:val="24"/>
        </w:rPr>
        <w:t>のオブザーバー計画からデータを収集する取決めに関する別添</w:t>
      </w:r>
      <w:r>
        <w:rPr>
          <w:rFonts w:ascii="Times New Roman" w:hAnsi="Times New Roman" w:hint="eastAsia"/>
          <w:sz w:val="24"/>
        </w:rPr>
        <w:t>1</w:t>
      </w:r>
      <w:r>
        <w:rPr>
          <w:rFonts w:ascii="Times New Roman" w:hAnsi="Times New Roman" w:hint="eastAsia"/>
          <w:sz w:val="24"/>
        </w:rPr>
        <w:t>に規定された情報を含む報告を行うこと。</w:t>
      </w:r>
    </w:p>
    <w:p w14:paraId="120911C0" w14:textId="7A2B4EA5" w:rsidR="0096711D" w:rsidRPr="00A22EC9" w:rsidRDefault="00A2223D" w:rsidP="00D65B6A">
      <w:pPr>
        <w:pStyle w:val="PlainText"/>
        <w:spacing w:before="120"/>
        <w:ind w:left="425" w:hanging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="0096711D" w:rsidRPr="00A22EC9">
        <w:rPr>
          <w:rFonts w:ascii="Times New Roman" w:hAnsi="Times New Roman" w:hint="eastAsia"/>
          <w:sz w:val="24"/>
        </w:rPr>
        <w:t>.</w:t>
      </w:r>
      <w:r w:rsidR="0096711D" w:rsidRPr="00A22EC9">
        <w:rPr>
          <w:rFonts w:ascii="Times New Roman" w:hAnsi="Times New Roman" w:hint="eastAsia"/>
          <w:sz w:val="24"/>
        </w:rPr>
        <w:tab/>
      </w:r>
      <w:r w:rsidR="004729BD">
        <w:rPr>
          <w:rFonts w:ascii="Times New Roman" w:hAnsi="Times New Roman" w:hint="eastAsia"/>
          <w:sz w:val="24"/>
        </w:rPr>
        <w:t>その他の関連情報</w:t>
      </w:r>
    </w:p>
    <w:p w14:paraId="00FABE6F" w14:textId="77777777" w:rsidR="0096711D" w:rsidRDefault="0096711D">
      <w:pPr>
        <w:pStyle w:val="PlainText"/>
        <w:jc w:val="left"/>
        <w:rPr>
          <w:rFonts w:ascii="Times New Roman" w:hAnsi="Times New Roman"/>
          <w:sz w:val="24"/>
        </w:rPr>
      </w:pPr>
    </w:p>
    <w:p w14:paraId="2E6846F9" w14:textId="77777777" w:rsidR="0096711D" w:rsidRDefault="0096711D">
      <w:pPr>
        <w:pStyle w:val="PlainText"/>
        <w:jc w:val="left"/>
        <w:rPr>
          <w:rFonts w:ascii="Times New Roman" w:hAnsi="Times New Roman"/>
          <w:sz w:val="24"/>
        </w:rPr>
      </w:pPr>
    </w:p>
    <w:p w14:paraId="71777D18" w14:textId="0D3424FE" w:rsidR="0096711D" w:rsidRPr="00D65B6A" w:rsidRDefault="004729BD" w:rsidP="00517340">
      <w:pPr>
        <w:pStyle w:val="PlainText"/>
        <w:keepNext/>
        <w:keepLines/>
        <w:jc w:val="left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 w:hint="eastAsia"/>
          <w:i/>
          <w:sz w:val="24"/>
          <w:u w:val="single"/>
        </w:rPr>
        <w:t>注記：</w:t>
      </w:r>
    </w:p>
    <w:p w14:paraId="100707BB" w14:textId="3FF39CB2" w:rsidR="0096711D" w:rsidRPr="00D65B6A" w:rsidRDefault="004729BD" w:rsidP="00D65B6A">
      <w:pPr>
        <w:pStyle w:val="PlainText"/>
        <w:keepNext/>
        <w:keepLines/>
        <w:numPr>
          <w:ilvl w:val="0"/>
          <w:numId w:val="2"/>
        </w:numPr>
        <w:tabs>
          <w:tab w:val="left" w:pos="284"/>
        </w:tabs>
        <w:ind w:left="284" w:hanging="284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 w:hint="eastAsia"/>
          <w:i/>
          <w:sz w:val="24"/>
        </w:rPr>
        <w:t>漁獲に関するデータは、暦年と漁期年の両方で提示されるべきである。</w:t>
      </w:r>
    </w:p>
    <w:p w14:paraId="78C0527E" w14:textId="4A7B146A" w:rsidR="0096711D" w:rsidRPr="00D65B6A" w:rsidRDefault="004729BD" w:rsidP="00D65B6A">
      <w:pPr>
        <w:pStyle w:val="PlainText"/>
        <w:keepNext/>
        <w:keepLines/>
        <w:numPr>
          <w:ilvl w:val="0"/>
          <w:numId w:val="2"/>
        </w:numPr>
        <w:tabs>
          <w:tab w:val="left" w:pos="284"/>
        </w:tabs>
        <w:ind w:left="284" w:hanging="284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 w:hint="eastAsia"/>
          <w:i/>
          <w:sz w:val="24"/>
        </w:rPr>
        <w:t>重量データは原魚重量で報告されるべきであり、また使用された変換係数が特定されるべきである。</w:t>
      </w:r>
    </w:p>
    <w:p w14:paraId="0529A982" w14:textId="7E0F9A09" w:rsidR="0096711D" w:rsidRPr="00D65B6A" w:rsidRDefault="004729BD" w:rsidP="00D65B6A">
      <w:pPr>
        <w:pStyle w:val="PlainText"/>
        <w:keepNext/>
        <w:keepLines/>
        <w:numPr>
          <w:ilvl w:val="0"/>
          <w:numId w:val="2"/>
        </w:numPr>
        <w:tabs>
          <w:tab w:val="left" w:pos="284"/>
        </w:tabs>
        <w:ind w:left="284" w:hanging="284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 w:hint="eastAsia"/>
          <w:i/>
          <w:sz w:val="24"/>
        </w:rPr>
        <w:t>ノミナル</w:t>
      </w:r>
      <w:r>
        <w:rPr>
          <w:rFonts w:ascii="Times New Roman" w:hAnsi="Times New Roman" w:hint="eastAsia"/>
          <w:i/>
          <w:sz w:val="24"/>
        </w:rPr>
        <w:t>CPUE</w:t>
      </w:r>
      <w:r>
        <w:rPr>
          <w:rFonts w:ascii="Times New Roman" w:hAnsi="Times New Roman" w:hint="eastAsia"/>
          <w:i/>
          <w:sz w:val="24"/>
        </w:rPr>
        <w:t>（特にはえ縄漁業に関して）は、標準的な単位（例えば</w:t>
      </w:r>
      <w:r>
        <w:rPr>
          <w:rFonts w:ascii="Times New Roman" w:hAnsi="Times New Roman" w:hint="eastAsia"/>
          <w:i/>
          <w:sz w:val="24"/>
        </w:rPr>
        <w:t>1,000</w:t>
      </w:r>
      <w:r>
        <w:rPr>
          <w:rFonts w:ascii="Times New Roman" w:hAnsi="Times New Roman" w:hint="eastAsia"/>
          <w:i/>
          <w:sz w:val="24"/>
        </w:rPr>
        <w:t>鈎針数あたりの</w:t>
      </w:r>
      <w:r>
        <w:rPr>
          <w:rFonts w:ascii="Times New Roman" w:hAnsi="Times New Roman" w:hint="eastAsia"/>
          <w:i/>
          <w:sz w:val="24"/>
        </w:rPr>
        <w:t>SBT</w:t>
      </w:r>
      <w:r>
        <w:rPr>
          <w:rFonts w:ascii="Times New Roman" w:hAnsi="Times New Roman" w:hint="eastAsia"/>
          <w:i/>
          <w:sz w:val="24"/>
        </w:rPr>
        <w:t>漁獲尾数）で表記されるべきである。</w:t>
      </w:r>
    </w:p>
    <w:p w14:paraId="2A588BE9" w14:textId="63D27B71" w:rsidR="0096711D" w:rsidRPr="00D65B6A" w:rsidRDefault="004729BD" w:rsidP="00D65B6A">
      <w:pPr>
        <w:pStyle w:val="PlainText"/>
        <w:keepNext/>
        <w:keepLines/>
        <w:numPr>
          <w:ilvl w:val="0"/>
          <w:numId w:val="2"/>
        </w:numPr>
        <w:tabs>
          <w:tab w:val="left" w:pos="284"/>
        </w:tabs>
        <w:ind w:left="284" w:hanging="284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 w:hint="eastAsia"/>
          <w:i/>
          <w:sz w:val="24"/>
        </w:rPr>
        <w:t>推定値がサンプルデータの引き伸ばしである場合は、その旨を言明すること。</w:t>
      </w:r>
    </w:p>
    <w:p w14:paraId="21FC3F84" w14:textId="6D0C9D1D" w:rsidR="00D65B6A" w:rsidRPr="00D65B6A" w:rsidRDefault="004729BD" w:rsidP="00D65B6A">
      <w:pPr>
        <w:pStyle w:val="PlainText"/>
        <w:keepNext/>
        <w:keepLines/>
        <w:numPr>
          <w:ilvl w:val="0"/>
          <w:numId w:val="2"/>
        </w:numPr>
        <w:tabs>
          <w:tab w:val="left" w:pos="284"/>
        </w:tabs>
        <w:ind w:left="284" w:hanging="284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 w:hint="eastAsia"/>
          <w:i/>
          <w:sz w:val="24"/>
        </w:rPr>
        <w:t>必要に応じて、測定値を計算しても良い。</w:t>
      </w:r>
    </w:p>
    <w:p w14:paraId="651D6492" w14:textId="77777777" w:rsidR="007D441F" w:rsidRDefault="00D65B6A" w:rsidP="00D65B6A">
      <w:pPr>
        <w:pStyle w:val="PlainText"/>
        <w:jc w:val="right"/>
        <w:rPr>
          <w:rFonts w:ascii="Times New Roman" w:hAnsi="Times New Roman"/>
          <w:b/>
          <w:sz w:val="24"/>
          <w:szCs w:val="24"/>
          <w:lang w:val="en-ZA"/>
        </w:rPr>
      </w:pPr>
      <w:r>
        <w:br/>
      </w:r>
    </w:p>
    <w:p w14:paraId="33A82907" w14:textId="77777777" w:rsidR="007D441F" w:rsidRDefault="007D441F">
      <w:pPr>
        <w:widowControl/>
        <w:jc w:val="left"/>
        <w:rPr>
          <w:b/>
          <w:szCs w:val="24"/>
          <w:lang w:val="en-ZA"/>
        </w:rPr>
      </w:pPr>
      <w:r>
        <w:rPr>
          <w:b/>
          <w:szCs w:val="24"/>
          <w:lang w:val="en-ZA"/>
        </w:rPr>
        <w:br w:type="page"/>
      </w:r>
    </w:p>
    <w:p w14:paraId="553AD246" w14:textId="77777777" w:rsidR="00982765" w:rsidRPr="00D65B6A" w:rsidRDefault="004729BD" w:rsidP="00D65B6A">
      <w:pPr>
        <w:pStyle w:val="PlainTex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  <w:lang w:val="en-ZA"/>
        </w:rPr>
        <w:lastRenderedPageBreak/>
        <w:t>別添</w:t>
      </w:r>
      <w:r w:rsidR="00982765" w:rsidRPr="00D65B6A">
        <w:rPr>
          <w:rFonts w:ascii="Times New Roman" w:hAnsi="Times New Roman"/>
          <w:b/>
          <w:sz w:val="24"/>
          <w:szCs w:val="24"/>
          <w:lang w:val="en-ZA"/>
        </w:rPr>
        <w:t xml:space="preserve"> 1</w:t>
      </w:r>
    </w:p>
    <w:p w14:paraId="4CA1B460" w14:textId="17F46496" w:rsidR="00982765" w:rsidRPr="00625777" w:rsidRDefault="00045638" w:rsidP="00625777">
      <w:pPr>
        <w:spacing w:before="240"/>
        <w:jc w:val="center"/>
        <w:rPr>
          <w:b/>
          <w:szCs w:val="24"/>
          <w:lang w:val="en-ZA"/>
        </w:rPr>
      </w:pPr>
      <w:r>
        <w:rPr>
          <w:rFonts w:hint="eastAsia"/>
          <w:b/>
          <w:szCs w:val="24"/>
          <w:lang w:val="en-ZA"/>
        </w:rPr>
        <w:t>国別報告書における</w:t>
      </w:r>
      <w:r w:rsidR="004729BD">
        <w:rPr>
          <w:rFonts w:hint="eastAsia"/>
          <w:b/>
          <w:szCs w:val="24"/>
          <w:lang w:val="en-ZA"/>
        </w:rPr>
        <w:t>科学オブザーバー計画の</w:t>
      </w:r>
      <w:r w:rsidR="00C91EA7">
        <w:rPr>
          <w:rFonts w:hint="eastAsia"/>
          <w:b/>
          <w:szCs w:val="24"/>
          <w:lang w:val="en-ZA"/>
        </w:rPr>
        <w:t>開発と</w:t>
      </w:r>
      <w:r w:rsidR="004729BD">
        <w:rPr>
          <w:rFonts w:hint="eastAsia"/>
          <w:b/>
          <w:szCs w:val="24"/>
          <w:lang w:val="en-ZA"/>
        </w:rPr>
        <w:t>実施に関する</w:t>
      </w:r>
      <w:r>
        <w:rPr>
          <w:rFonts w:hint="eastAsia"/>
          <w:b/>
          <w:szCs w:val="24"/>
          <w:lang w:val="en-ZA"/>
        </w:rPr>
        <w:t>セクションの</w:t>
      </w:r>
      <w:r w:rsidR="00C91EA7">
        <w:rPr>
          <w:rFonts w:hint="eastAsia"/>
          <w:b/>
          <w:szCs w:val="24"/>
          <w:lang w:val="en-ZA"/>
        </w:rPr>
        <w:t>書式</w:t>
      </w:r>
    </w:p>
    <w:p w14:paraId="7291A4C2" w14:textId="0C576AFD" w:rsidR="00982765" w:rsidRPr="00625777" w:rsidRDefault="00045638" w:rsidP="00982765">
      <w:pPr>
        <w:jc w:val="center"/>
        <w:rPr>
          <w:i/>
          <w:sz w:val="18"/>
          <w:szCs w:val="18"/>
          <w:lang w:val="en-ZA"/>
        </w:rPr>
      </w:pPr>
      <w:r>
        <w:rPr>
          <w:rFonts w:hint="eastAsia"/>
          <w:i/>
          <w:sz w:val="18"/>
          <w:szCs w:val="18"/>
          <w:lang w:val="en-ZA"/>
        </w:rPr>
        <w:t>（</w:t>
      </w:r>
      <w:r>
        <w:rPr>
          <w:rFonts w:hint="eastAsia"/>
          <w:i/>
          <w:sz w:val="18"/>
          <w:szCs w:val="18"/>
          <w:lang w:val="en-ZA"/>
        </w:rPr>
        <w:t>CCSBT</w:t>
      </w:r>
      <w:r>
        <w:rPr>
          <w:rFonts w:hint="eastAsia"/>
          <w:i/>
          <w:sz w:val="18"/>
          <w:szCs w:val="18"/>
          <w:lang w:val="en-ZA"/>
        </w:rPr>
        <w:t>オブザーバー計画規範より）</w:t>
      </w:r>
    </w:p>
    <w:p w14:paraId="586A972B" w14:textId="5E0D9200" w:rsidR="00982765" w:rsidRPr="00625777" w:rsidRDefault="00C91EA7" w:rsidP="00625777">
      <w:pPr>
        <w:spacing w:before="240"/>
        <w:rPr>
          <w:b/>
          <w:szCs w:val="24"/>
          <w:lang w:val="en-ZA"/>
        </w:rPr>
      </w:pPr>
      <w:r>
        <w:rPr>
          <w:rFonts w:hint="eastAsia"/>
          <w:b/>
          <w:szCs w:val="24"/>
          <w:lang w:val="en-ZA"/>
        </w:rPr>
        <w:t>報告書の構成要素</w:t>
      </w:r>
    </w:p>
    <w:p w14:paraId="0C362DA8" w14:textId="60F7B144" w:rsidR="00982765" w:rsidRPr="00625777" w:rsidRDefault="00C91EA7" w:rsidP="00982765">
      <w:pPr>
        <w:rPr>
          <w:szCs w:val="24"/>
          <w:lang w:val="en-ZA"/>
        </w:rPr>
      </w:pPr>
      <w:r>
        <w:rPr>
          <w:rFonts w:hint="eastAsia"/>
          <w:szCs w:val="24"/>
          <w:lang w:val="en-ZA"/>
        </w:rPr>
        <w:t>加盟国が科学委員会に提出する年次の国別報告書の一部として、オブザーバー計画の実施報告を含めることとする。この報告は、</w:t>
      </w:r>
      <w:r w:rsidR="00827EE4">
        <w:rPr>
          <w:rFonts w:hint="eastAsia"/>
          <w:szCs w:val="24"/>
          <w:lang w:val="en-ZA"/>
        </w:rPr>
        <w:t>みなみまぐろ</w:t>
      </w:r>
      <w:r>
        <w:rPr>
          <w:rFonts w:hint="eastAsia"/>
          <w:szCs w:val="24"/>
          <w:lang w:val="en-ZA"/>
        </w:rPr>
        <w:t>漁業のオブザーバー計画の簡単な概要を提示するもので、収集したオブザーバー・データの公式な解析結果を</w:t>
      </w:r>
      <w:r w:rsidR="00166B63">
        <w:rPr>
          <w:rFonts w:hint="eastAsia"/>
          <w:szCs w:val="24"/>
          <w:lang w:val="en-ZA"/>
        </w:rPr>
        <w:t>示す文書に代わるものではない。このオブザーバー計画報告は、下記のセクションで構成するものとする。</w:t>
      </w:r>
    </w:p>
    <w:p w14:paraId="15824220" w14:textId="10B914AF" w:rsidR="00982765" w:rsidRPr="00625777" w:rsidRDefault="00982765" w:rsidP="00625777">
      <w:pPr>
        <w:tabs>
          <w:tab w:val="left" w:pos="426"/>
        </w:tabs>
        <w:spacing w:before="120"/>
        <w:rPr>
          <w:b/>
          <w:szCs w:val="24"/>
          <w:lang w:val="en-ZA"/>
        </w:rPr>
      </w:pPr>
      <w:r w:rsidRPr="00625777">
        <w:rPr>
          <w:b/>
          <w:szCs w:val="24"/>
          <w:lang w:val="en-ZA"/>
        </w:rPr>
        <w:t>A.</w:t>
      </w:r>
      <w:r w:rsidRPr="00625777">
        <w:rPr>
          <w:b/>
          <w:szCs w:val="24"/>
          <w:lang w:val="en-ZA"/>
        </w:rPr>
        <w:tab/>
      </w:r>
      <w:r w:rsidR="00166B63">
        <w:rPr>
          <w:rFonts w:hint="eastAsia"/>
          <w:b/>
          <w:szCs w:val="24"/>
          <w:lang w:val="en-ZA"/>
        </w:rPr>
        <w:t>オブザーバーの訓練</w:t>
      </w:r>
    </w:p>
    <w:p w14:paraId="412F9307" w14:textId="7220D266" w:rsidR="00982765" w:rsidRPr="00625777" w:rsidRDefault="00166B63" w:rsidP="00982765">
      <w:pPr>
        <w:ind w:left="426"/>
        <w:rPr>
          <w:szCs w:val="24"/>
          <w:lang w:val="en-ZA"/>
        </w:rPr>
      </w:pPr>
      <w:r w:rsidRPr="00166B63">
        <w:rPr>
          <w:rFonts w:hint="eastAsia"/>
          <w:szCs w:val="24"/>
          <w:lang w:val="en-ZA"/>
        </w:rPr>
        <w:t>実施したオブザーバー訓練の概要。以下の事項を含む</w:t>
      </w:r>
      <w:r>
        <w:rPr>
          <w:rFonts w:hint="eastAsia"/>
          <w:szCs w:val="24"/>
          <w:lang w:val="en-ZA"/>
        </w:rPr>
        <w:t>。</w:t>
      </w:r>
    </w:p>
    <w:p w14:paraId="59283F5F" w14:textId="2E0AD375" w:rsidR="00982765" w:rsidRPr="00625777" w:rsidRDefault="00166B63" w:rsidP="00166B63">
      <w:pPr>
        <w:widowControl/>
        <w:numPr>
          <w:ilvl w:val="0"/>
          <w:numId w:val="7"/>
        </w:numPr>
        <w:tabs>
          <w:tab w:val="left" w:pos="709"/>
        </w:tabs>
        <w:rPr>
          <w:szCs w:val="24"/>
          <w:lang w:val="en-ZA"/>
        </w:rPr>
      </w:pPr>
      <w:r w:rsidRPr="00166B63">
        <w:rPr>
          <w:rFonts w:hint="eastAsia"/>
          <w:szCs w:val="24"/>
          <w:lang w:val="en-ZA"/>
        </w:rPr>
        <w:t>科学オブザーバー向けに実施した訓練プログラムの概要</w:t>
      </w:r>
      <w:r>
        <w:rPr>
          <w:rFonts w:hint="eastAsia"/>
          <w:szCs w:val="24"/>
          <w:lang w:val="en-ZA"/>
        </w:rPr>
        <w:t>。</w:t>
      </w:r>
    </w:p>
    <w:p w14:paraId="7813F274" w14:textId="58674E51" w:rsidR="00982765" w:rsidRPr="00625777" w:rsidRDefault="00166B63" w:rsidP="00166B63">
      <w:pPr>
        <w:widowControl/>
        <w:numPr>
          <w:ilvl w:val="0"/>
          <w:numId w:val="7"/>
        </w:numPr>
        <w:tabs>
          <w:tab w:val="left" w:pos="709"/>
        </w:tabs>
        <w:rPr>
          <w:szCs w:val="24"/>
          <w:lang w:val="en-ZA"/>
        </w:rPr>
      </w:pPr>
      <w:r w:rsidRPr="00166B63">
        <w:rPr>
          <w:szCs w:val="24"/>
          <w:lang w:val="en-ZA"/>
        </w:rPr>
        <w:tab/>
      </w:r>
      <w:r w:rsidRPr="00166B63">
        <w:rPr>
          <w:rFonts w:hint="eastAsia"/>
          <w:szCs w:val="24"/>
          <w:lang w:val="en-ZA"/>
        </w:rPr>
        <w:t>訓練したオブザーバーの人数</w:t>
      </w:r>
      <w:r>
        <w:rPr>
          <w:rFonts w:hint="eastAsia"/>
          <w:szCs w:val="24"/>
          <w:lang w:val="en-ZA"/>
        </w:rPr>
        <w:t>。</w:t>
      </w:r>
    </w:p>
    <w:p w14:paraId="30494F44" w14:textId="367A35BC" w:rsidR="00982765" w:rsidRPr="00625777" w:rsidRDefault="00166B63" w:rsidP="00166B63">
      <w:pPr>
        <w:widowControl/>
        <w:numPr>
          <w:ilvl w:val="0"/>
          <w:numId w:val="7"/>
        </w:numPr>
        <w:tabs>
          <w:tab w:val="left" w:pos="709"/>
        </w:tabs>
        <w:rPr>
          <w:szCs w:val="24"/>
          <w:lang w:val="en-ZA"/>
        </w:rPr>
      </w:pPr>
      <w:r w:rsidRPr="00166B63">
        <w:rPr>
          <w:szCs w:val="24"/>
          <w:lang w:val="en-ZA"/>
        </w:rPr>
        <w:tab/>
      </w:r>
      <w:r w:rsidRPr="00166B63">
        <w:rPr>
          <w:rFonts w:hint="eastAsia"/>
          <w:szCs w:val="24"/>
          <w:lang w:val="en-ZA"/>
        </w:rPr>
        <w:t>過去に</w:t>
      </w:r>
      <w:r w:rsidR="00827EE4">
        <w:rPr>
          <w:rFonts w:hint="eastAsia"/>
          <w:szCs w:val="24"/>
          <w:lang w:val="en-ZA"/>
        </w:rPr>
        <w:t>みなみまぐろ</w:t>
      </w:r>
      <w:r w:rsidRPr="00166B63">
        <w:rPr>
          <w:rFonts w:hint="eastAsia"/>
          <w:szCs w:val="24"/>
          <w:lang w:val="en-ZA"/>
        </w:rPr>
        <w:t>漁業に配置されたオブザーバーの資格、訓練、経験年数などの概要</w:t>
      </w:r>
      <w:r>
        <w:rPr>
          <w:rFonts w:hint="eastAsia"/>
          <w:szCs w:val="24"/>
          <w:lang w:val="en-ZA"/>
        </w:rPr>
        <w:t>。</w:t>
      </w:r>
    </w:p>
    <w:p w14:paraId="0772B8C0" w14:textId="096C4471" w:rsidR="00982765" w:rsidRPr="00625777" w:rsidRDefault="00166B63" w:rsidP="00166B63">
      <w:pPr>
        <w:widowControl/>
        <w:numPr>
          <w:ilvl w:val="0"/>
          <w:numId w:val="7"/>
        </w:numPr>
        <w:tabs>
          <w:tab w:val="left" w:pos="709"/>
        </w:tabs>
        <w:rPr>
          <w:szCs w:val="24"/>
          <w:lang w:val="en-ZA"/>
        </w:rPr>
      </w:pPr>
      <w:r w:rsidRPr="00166B63">
        <w:rPr>
          <w:szCs w:val="24"/>
          <w:lang w:val="en-ZA"/>
        </w:rPr>
        <w:tab/>
      </w:r>
      <w:r w:rsidRPr="00166B63">
        <w:rPr>
          <w:rFonts w:hint="eastAsia"/>
          <w:szCs w:val="24"/>
          <w:lang w:val="en-ZA"/>
        </w:rPr>
        <w:t>参考資料として、最新の訓練関連資料のコピーの提出（自国言語のまま）</w:t>
      </w:r>
      <w:r>
        <w:rPr>
          <w:rFonts w:hint="eastAsia"/>
          <w:szCs w:val="24"/>
          <w:lang w:val="en-ZA"/>
        </w:rPr>
        <w:t>。</w:t>
      </w:r>
    </w:p>
    <w:p w14:paraId="57265772" w14:textId="6BFBAFFB" w:rsidR="00982765" w:rsidRPr="00625777" w:rsidRDefault="00982765" w:rsidP="00625777">
      <w:pPr>
        <w:tabs>
          <w:tab w:val="left" w:pos="426"/>
        </w:tabs>
        <w:spacing w:before="120"/>
        <w:rPr>
          <w:b/>
          <w:szCs w:val="24"/>
          <w:lang w:val="en-ZA"/>
        </w:rPr>
      </w:pPr>
      <w:r w:rsidRPr="00625777">
        <w:rPr>
          <w:b/>
          <w:szCs w:val="24"/>
          <w:lang w:val="en-ZA"/>
        </w:rPr>
        <w:t>B.</w:t>
      </w:r>
      <w:r w:rsidRPr="00625777">
        <w:rPr>
          <w:b/>
          <w:szCs w:val="24"/>
          <w:lang w:val="en-ZA"/>
        </w:rPr>
        <w:tab/>
      </w:r>
      <w:r w:rsidR="00166B63" w:rsidRPr="00166B63">
        <w:rPr>
          <w:rFonts w:hint="eastAsia"/>
          <w:b/>
          <w:szCs w:val="24"/>
          <w:lang w:val="en-ZA"/>
        </w:rPr>
        <w:t>科学オブザーバー計画の設計と範囲</w:t>
      </w:r>
    </w:p>
    <w:p w14:paraId="74F58501" w14:textId="1B36DE9C" w:rsidR="00982765" w:rsidRPr="00625777" w:rsidRDefault="00166B63" w:rsidP="00982765">
      <w:pPr>
        <w:ind w:left="426"/>
        <w:rPr>
          <w:szCs w:val="24"/>
          <w:lang w:val="en-ZA"/>
        </w:rPr>
      </w:pPr>
      <w:r w:rsidRPr="00166B63">
        <w:rPr>
          <w:rFonts w:hint="eastAsia"/>
          <w:szCs w:val="24"/>
          <w:lang w:val="en-ZA"/>
        </w:rPr>
        <w:t>オブザーバー計画の設計には下記事項を含める</w:t>
      </w:r>
      <w:r>
        <w:rPr>
          <w:rFonts w:hint="eastAsia"/>
          <w:szCs w:val="24"/>
          <w:lang w:val="en-ZA"/>
        </w:rPr>
        <w:t>。</w:t>
      </w:r>
    </w:p>
    <w:p w14:paraId="09FC7A57" w14:textId="55734637" w:rsidR="00982765" w:rsidRPr="00625777" w:rsidRDefault="00166B63" w:rsidP="00166B63">
      <w:pPr>
        <w:widowControl/>
        <w:numPr>
          <w:ilvl w:val="0"/>
          <w:numId w:val="10"/>
        </w:numPr>
        <w:tabs>
          <w:tab w:val="left" w:pos="709"/>
        </w:tabs>
        <w:rPr>
          <w:szCs w:val="24"/>
          <w:lang w:val="en-ZA"/>
        </w:rPr>
      </w:pPr>
      <w:r w:rsidRPr="00166B63">
        <w:rPr>
          <w:rFonts w:hint="eastAsia"/>
          <w:szCs w:val="24"/>
          <w:lang w:val="en-ZA"/>
        </w:rPr>
        <w:t>計画がカバーする船団、対象船団、もしくは対象漁業部門</w:t>
      </w:r>
      <w:r>
        <w:rPr>
          <w:rFonts w:hint="eastAsia"/>
          <w:szCs w:val="24"/>
          <w:lang w:val="en-ZA"/>
        </w:rPr>
        <w:t>。</w:t>
      </w:r>
    </w:p>
    <w:p w14:paraId="35EE2290" w14:textId="013B8646" w:rsidR="00982765" w:rsidRPr="00625777" w:rsidRDefault="00166B63" w:rsidP="00166B63">
      <w:pPr>
        <w:widowControl/>
        <w:numPr>
          <w:ilvl w:val="0"/>
          <w:numId w:val="10"/>
        </w:numPr>
        <w:tabs>
          <w:tab w:val="left" w:pos="709"/>
        </w:tabs>
        <w:rPr>
          <w:szCs w:val="24"/>
          <w:lang w:val="en-ZA"/>
        </w:rPr>
      </w:pPr>
      <w:r w:rsidRPr="00166B63">
        <w:rPr>
          <w:rFonts w:hint="eastAsia"/>
          <w:szCs w:val="24"/>
          <w:lang w:val="en-ZA"/>
        </w:rPr>
        <w:t>上記の船団もしくは漁業部門から、オブザーバーを乗船させる漁船をどのように選択した</w:t>
      </w:r>
      <w:r>
        <w:rPr>
          <w:rFonts w:hint="eastAsia"/>
          <w:szCs w:val="24"/>
          <w:lang w:val="en-ZA"/>
        </w:rPr>
        <w:t>か。</w:t>
      </w:r>
    </w:p>
    <w:p w14:paraId="0BB0C8AE" w14:textId="10E0ADAA" w:rsidR="00982765" w:rsidRPr="00625777" w:rsidRDefault="00166B63" w:rsidP="00166B63">
      <w:pPr>
        <w:widowControl/>
        <w:numPr>
          <w:ilvl w:val="0"/>
          <w:numId w:val="10"/>
        </w:numPr>
        <w:tabs>
          <w:tab w:val="left" w:pos="709"/>
        </w:tabs>
        <w:rPr>
          <w:szCs w:val="24"/>
          <w:lang w:val="en-ZA"/>
        </w:rPr>
      </w:pPr>
      <w:r w:rsidRPr="00166B63">
        <w:rPr>
          <w:szCs w:val="24"/>
          <w:lang w:val="en-ZA"/>
        </w:rPr>
        <w:tab/>
      </w:r>
      <w:r w:rsidRPr="00166B63">
        <w:rPr>
          <w:rFonts w:hint="eastAsia"/>
          <w:szCs w:val="24"/>
          <w:lang w:val="en-ZA"/>
        </w:rPr>
        <w:t>オブザーバーのカバー率について、船団、漁業部門、漁船の種類、漁船のサイズ、漁船の年数、操業海域、漁期などの層別化はいかに行ったか</w:t>
      </w:r>
      <w:r>
        <w:rPr>
          <w:rFonts w:hint="eastAsia"/>
          <w:szCs w:val="24"/>
          <w:lang w:val="en-ZA"/>
        </w:rPr>
        <w:t>。</w:t>
      </w:r>
    </w:p>
    <w:p w14:paraId="180F70F0" w14:textId="4E0B9443" w:rsidR="00982765" w:rsidRPr="00625777" w:rsidRDefault="00166B63" w:rsidP="00625777">
      <w:pPr>
        <w:spacing w:before="120"/>
        <w:ind w:left="425"/>
        <w:rPr>
          <w:szCs w:val="24"/>
          <w:lang w:val="en-ZA"/>
        </w:rPr>
      </w:pPr>
      <w:r w:rsidRPr="00166B63">
        <w:rPr>
          <w:rFonts w:hint="eastAsia"/>
          <w:szCs w:val="24"/>
          <w:lang w:val="en-ZA"/>
        </w:rPr>
        <w:t>上記の船団のオブザーバー・カバー率には以下の事項を含む</w:t>
      </w:r>
      <w:r>
        <w:rPr>
          <w:rFonts w:hint="eastAsia"/>
          <w:szCs w:val="24"/>
          <w:lang w:val="en-ZA"/>
        </w:rPr>
        <w:t>。</w:t>
      </w:r>
    </w:p>
    <w:p w14:paraId="236C63BB" w14:textId="1C444D60" w:rsidR="00982765" w:rsidRPr="00625777" w:rsidRDefault="00166B63" w:rsidP="00166B63">
      <w:pPr>
        <w:widowControl/>
        <w:numPr>
          <w:ilvl w:val="0"/>
          <w:numId w:val="11"/>
        </w:numPr>
        <w:tabs>
          <w:tab w:val="left" w:pos="709"/>
        </w:tabs>
        <w:rPr>
          <w:szCs w:val="24"/>
          <w:lang w:val="en-ZA"/>
        </w:rPr>
      </w:pPr>
      <w:r w:rsidRPr="00166B63">
        <w:rPr>
          <w:rFonts w:hint="eastAsia"/>
          <w:szCs w:val="24"/>
          <w:lang w:val="en-ZA"/>
        </w:rPr>
        <w:t>漁業部門、海域、漁期、</w:t>
      </w:r>
      <w:r w:rsidR="00823267">
        <w:rPr>
          <w:rFonts w:hint="eastAsia"/>
          <w:szCs w:val="24"/>
          <w:lang w:val="en-ZA"/>
        </w:rPr>
        <w:t>みなみまぐろ</w:t>
      </w:r>
      <w:r w:rsidRPr="00166B63">
        <w:rPr>
          <w:rFonts w:hint="eastAsia"/>
          <w:szCs w:val="24"/>
          <w:lang w:val="en-ZA"/>
        </w:rPr>
        <w:t>総漁獲量に対する比率。それぞれのカバー率を示す単位を示すこと</w:t>
      </w:r>
      <w:r>
        <w:rPr>
          <w:rFonts w:hint="eastAsia"/>
          <w:szCs w:val="24"/>
          <w:lang w:val="en-ZA"/>
        </w:rPr>
        <w:t>。</w:t>
      </w:r>
    </w:p>
    <w:p w14:paraId="103ACDC9" w14:textId="402955FB" w:rsidR="00982765" w:rsidRPr="00625777" w:rsidRDefault="00166B63" w:rsidP="00166B63">
      <w:pPr>
        <w:widowControl/>
        <w:numPr>
          <w:ilvl w:val="0"/>
          <w:numId w:val="11"/>
        </w:numPr>
        <w:tabs>
          <w:tab w:val="left" w:pos="709"/>
        </w:tabs>
        <w:rPr>
          <w:szCs w:val="24"/>
          <w:lang w:val="en-ZA"/>
        </w:rPr>
      </w:pPr>
      <w:r w:rsidRPr="00166B63">
        <w:rPr>
          <w:rFonts w:hint="eastAsia"/>
          <w:szCs w:val="24"/>
          <w:lang w:val="en-ZA"/>
        </w:rPr>
        <w:t>オブザーバー配置の合計日数ならびに実際に観察作業を行った日数</w:t>
      </w:r>
      <w:r>
        <w:rPr>
          <w:rFonts w:hint="eastAsia"/>
          <w:szCs w:val="24"/>
          <w:lang w:val="en-ZA"/>
        </w:rPr>
        <w:t>。</w:t>
      </w:r>
    </w:p>
    <w:p w14:paraId="3AF54B1F" w14:textId="38430CDF" w:rsidR="00982765" w:rsidRPr="00625777" w:rsidRDefault="00982765" w:rsidP="00625777">
      <w:pPr>
        <w:tabs>
          <w:tab w:val="left" w:pos="426"/>
        </w:tabs>
        <w:spacing w:before="120"/>
        <w:rPr>
          <w:b/>
          <w:szCs w:val="24"/>
          <w:lang w:val="en-ZA"/>
        </w:rPr>
      </w:pPr>
      <w:r w:rsidRPr="00625777">
        <w:rPr>
          <w:b/>
          <w:szCs w:val="24"/>
          <w:lang w:val="en-ZA"/>
        </w:rPr>
        <w:t>C.</w:t>
      </w:r>
      <w:r w:rsidRPr="00625777">
        <w:rPr>
          <w:b/>
          <w:szCs w:val="24"/>
          <w:lang w:val="en-ZA"/>
        </w:rPr>
        <w:tab/>
      </w:r>
      <w:r w:rsidR="00166B63" w:rsidRPr="00166B63">
        <w:rPr>
          <w:rFonts w:hint="eastAsia"/>
          <w:b/>
          <w:szCs w:val="24"/>
          <w:lang w:val="en-ZA"/>
        </w:rPr>
        <w:t>収集したオブザーバー・データ</w:t>
      </w:r>
    </w:p>
    <w:p w14:paraId="6F4FB974" w14:textId="2AD733F1" w:rsidR="00982765" w:rsidRPr="00625777" w:rsidRDefault="00166B63" w:rsidP="00982765">
      <w:pPr>
        <w:ind w:left="426"/>
        <w:rPr>
          <w:szCs w:val="24"/>
          <w:lang w:val="en-ZA"/>
        </w:rPr>
      </w:pPr>
      <w:r w:rsidRPr="00166B63">
        <w:rPr>
          <w:rFonts w:hint="eastAsia"/>
          <w:szCs w:val="24"/>
          <w:lang w:val="en-ZA"/>
        </w:rPr>
        <w:t>別紙</w:t>
      </w:r>
      <w:r w:rsidRPr="00166B63">
        <w:rPr>
          <w:rFonts w:hint="eastAsia"/>
          <w:szCs w:val="24"/>
          <w:lang w:val="en-ZA"/>
        </w:rPr>
        <w:t>1</w:t>
      </w:r>
      <w:r w:rsidRPr="00166B63">
        <w:rPr>
          <w:rFonts w:hint="eastAsia"/>
          <w:szCs w:val="24"/>
          <w:lang w:val="en-ZA"/>
        </w:rPr>
        <w:t>に合意されたデータセットを示したが、その範囲に対応して実際に収集したオブザーバー・データのリストは大枠で以下のものを含む</w:t>
      </w:r>
      <w:r>
        <w:rPr>
          <w:rFonts w:hint="eastAsia"/>
          <w:szCs w:val="24"/>
          <w:lang w:val="en-ZA"/>
        </w:rPr>
        <w:t>。</w:t>
      </w:r>
    </w:p>
    <w:p w14:paraId="608A8522" w14:textId="12501BF8" w:rsidR="00982765" w:rsidRPr="00625777" w:rsidRDefault="00166B63" w:rsidP="00166B63">
      <w:pPr>
        <w:widowControl/>
        <w:numPr>
          <w:ilvl w:val="0"/>
          <w:numId w:val="12"/>
        </w:numPr>
        <w:tabs>
          <w:tab w:val="left" w:pos="709"/>
        </w:tabs>
        <w:spacing w:before="120"/>
        <w:rPr>
          <w:szCs w:val="24"/>
          <w:lang w:val="en-ZA"/>
        </w:rPr>
      </w:pPr>
      <w:r w:rsidRPr="00166B63">
        <w:rPr>
          <w:rFonts w:hint="eastAsia"/>
          <w:szCs w:val="24"/>
          <w:lang w:val="en-ZA"/>
        </w:rPr>
        <w:t>努力量データ</w:t>
      </w:r>
      <w:r w:rsidR="00823267">
        <w:rPr>
          <w:rFonts w:hint="eastAsia"/>
          <w:szCs w:val="24"/>
          <w:lang w:val="en-ZA"/>
        </w:rPr>
        <w:t>：</w:t>
      </w:r>
      <w:r w:rsidRPr="00166B63">
        <w:rPr>
          <w:rFonts w:hint="eastAsia"/>
          <w:szCs w:val="24"/>
          <w:lang w:val="en-ZA"/>
        </w:rPr>
        <w:t>海域別、漁期別に観察した努力量（操業日数、操業数、針数など）、ならびに海域別、漁期別の総努力量に対する観察割合</w:t>
      </w:r>
    </w:p>
    <w:p w14:paraId="3D225C11" w14:textId="0E0D2144" w:rsidR="00982765" w:rsidRPr="00625777" w:rsidRDefault="00166B63" w:rsidP="00166B63">
      <w:pPr>
        <w:widowControl/>
        <w:numPr>
          <w:ilvl w:val="0"/>
          <w:numId w:val="12"/>
        </w:numPr>
        <w:tabs>
          <w:tab w:val="left" w:pos="709"/>
        </w:tabs>
        <w:rPr>
          <w:szCs w:val="24"/>
          <w:lang w:val="en-ZA"/>
        </w:rPr>
      </w:pPr>
      <w:r w:rsidRPr="00166B63">
        <w:rPr>
          <w:rFonts w:hint="eastAsia"/>
          <w:szCs w:val="24"/>
          <w:lang w:val="en-ZA"/>
        </w:rPr>
        <w:t>漁獲量データ</w:t>
      </w:r>
      <w:r w:rsidR="00823267">
        <w:rPr>
          <w:rFonts w:hint="eastAsia"/>
          <w:szCs w:val="24"/>
          <w:lang w:val="en-ZA"/>
        </w:rPr>
        <w:t>：</w:t>
      </w:r>
      <w:r w:rsidRPr="00166B63">
        <w:rPr>
          <w:rFonts w:hint="eastAsia"/>
          <w:szCs w:val="24"/>
          <w:lang w:val="en-ZA"/>
        </w:rPr>
        <w:t>海域別・漁期別の観察した</w:t>
      </w:r>
      <w:r w:rsidR="00823267">
        <w:rPr>
          <w:rFonts w:hint="eastAsia"/>
          <w:szCs w:val="24"/>
          <w:lang w:val="en-ZA"/>
        </w:rPr>
        <w:t>みなみまぐろ</w:t>
      </w:r>
      <w:r w:rsidRPr="00166B63">
        <w:rPr>
          <w:rFonts w:hint="eastAsia"/>
          <w:szCs w:val="24"/>
          <w:lang w:val="en-ZA"/>
        </w:rPr>
        <w:t>及びその他の種（収集された場合）の漁獲量、ならびに海域別・漁期別の</w:t>
      </w:r>
      <w:r w:rsidR="00823267">
        <w:rPr>
          <w:rFonts w:hint="eastAsia"/>
          <w:szCs w:val="24"/>
          <w:lang w:val="en-ZA"/>
        </w:rPr>
        <w:t>みなみまぐろ</w:t>
      </w:r>
      <w:r w:rsidRPr="00166B63">
        <w:rPr>
          <w:rFonts w:hint="eastAsia"/>
          <w:szCs w:val="24"/>
          <w:lang w:val="en-ZA"/>
        </w:rPr>
        <w:t>総漁獲量に対する観察割合</w:t>
      </w:r>
    </w:p>
    <w:p w14:paraId="6A32D589" w14:textId="145DF47F" w:rsidR="00982765" w:rsidRPr="00625777" w:rsidRDefault="00166B63" w:rsidP="00166B63">
      <w:pPr>
        <w:widowControl/>
        <w:numPr>
          <w:ilvl w:val="0"/>
          <w:numId w:val="12"/>
        </w:numPr>
        <w:tabs>
          <w:tab w:val="left" w:pos="709"/>
        </w:tabs>
        <w:rPr>
          <w:szCs w:val="24"/>
          <w:lang w:val="en-ZA"/>
        </w:rPr>
      </w:pPr>
      <w:r w:rsidRPr="00166B63">
        <w:rPr>
          <w:rFonts w:hint="eastAsia"/>
          <w:szCs w:val="24"/>
          <w:lang w:val="en-ZA"/>
        </w:rPr>
        <w:t>体長頻度データ</w:t>
      </w:r>
      <w:r w:rsidR="00823267">
        <w:rPr>
          <w:rFonts w:hint="eastAsia"/>
          <w:szCs w:val="24"/>
          <w:lang w:val="en-ZA"/>
        </w:rPr>
        <w:t>：</w:t>
      </w:r>
      <w:r w:rsidRPr="00166B63">
        <w:rPr>
          <w:rFonts w:hint="eastAsia"/>
          <w:szCs w:val="24"/>
          <w:lang w:val="en-ZA"/>
        </w:rPr>
        <w:t>海域別・漁期別の種毎に測定した尾数</w:t>
      </w:r>
    </w:p>
    <w:p w14:paraId="3B36CF0C" w14:textId="24C71E71" w:rsidR="00982765" w:rsidRPr="00625777" w:rsidRDefault="00166B63" w:rsidP="00166B63">
      <w:pPr>
        <w:widowControl/>
        <w:numPr>
          <w:ilvl w:val="0"/>
          <w:numId w:val="12"/>
        </w:numPr>
        <w:tabs>
          <w:tab w:val="left" w:pos="709"/>
        </w:tabs>
        <w:rPr>
          <w:szCs w:val="24"/>
          <w:lang w:val="en-ZA"/>
        </w:rPr>
      </w:pPr>
      <w:r w:rsidRPr="00166B63">
        <w:rPr>
          <w:rFonts w:hint="eastAsia"/>
          <w:szCs w:val="24"/>
          <w:lang w:val="en-ZA"/>
        </w:rPr>
        <w:t>生物学的データ</w:t>
      </w:r>
      <w:r w:rsidR="00823267">
        <w:rPr>
          <w:rFonts w:hint="eastAsia"/>
          <w:szCs w:val="24"/>
          <w:lang w:val="en-ZA"/>
        </w:rPr>
        <w:t>：</w:t>
      </w:r>
      <w:r w:rsidRPr="00166B63">
        <w:rPr>
          <w:rFonts w:hint="eastAsia"/>
          <w:szCs w:val="24"/>
          <w:lang w:val="en-ZA"/>
        </w:rPr>
        <w:t>収集したその他の種毎の生物学的データもしくは標本（耳石、性別、成熟度、成熟度指数など）の種類と数量</w:t>
      </w:r>
    </w:p>
    <w:p w14:paraId="40B1D6E0" w14:textId="1FEEA363" w:rsidR="00982765" w:rsidRPr="00625777" w:rsidRDefault="00166B63" w:rsidP="00166B63">
      <w:pPr>
        <w:widowControl/>
        <w:numPr>
          <w:ilvl w:val="0"/>
          <w:numId w:val="12"/>
        </w:numPr>
        <w:tabs>
          <w:tab w:val="left" w:pos="709"/>
        </w:tabs>
        <w:rPr>
          <w:szCs w:val="24"/>
          <w:lang w:val="en-ZA"/>
        </w:rPr>
      </w:pPr>
      <w:r w:rsidRPr="00166B63">
        <w:rPr>
          <w:rFonts w:hint="eastAsia"/>
          <w:szCs w:val="24"/>
          <w:lang w:val="en-ZA"/>
        </w:rPr>
        <w:t>観察しなかった数量に対するサブ・サンプルのサイズ</w:t>
      </w:r>
      <w:r>
        <w:rPr>
          <w:rFonts w:hint="eastAsia"/>
          <w:szCs w:val="24"/>
          <w:lang w:val="en-ZA"/>
        </w:rPr>
        <w:t>。</w:t>
      </w:r>
    </w:p>
    <w:p w14:paraId="018D2F36" w14:textId="5990B4A0" w:rsidR="00982765" w:rsidRPr="00625777" w:rsidRDefault="00982765" w:rsidP="00625777">
      <w:pPr>
        <w:widowControl/>
        <w:tabs>
          <w:tab w:val="left" w:pos="426"/>
        </w:tabs>
        <w:spacing w:before="120"/>
        <w:rPr>
          <w:szCs w:val="24"/>
          <w:lang w:val="en-ZA"/>
        </w:rPr>
      </w:pPr>
      <w:r w:rsidRPr="00625777">
        <w:rPr>
          <w:b/>
          <w:szCs w:val="24"/>
          <w:lang w:val="en-ZA"/>
        </w:rPr>
        <w:t>D.</w:t>
      </w:r>
      <w:r w:rsidRPr="00625777">
        <w:rPr>
          <w:b/>
          <w:szCs w:val="24"/>
          <w:lang w:val="en-ZA"/>
        </w:rPr>
        <w:tab/>
      </w:r>
      <w:r w:rsidR="00166B63" w:rsidRPr="00166B63">
        <w:rPr>
          <w:rFonts w:hint="eastAsia"/>
          <w:b/>
          <w:szCs w:val="24"/>
          <w:lang w:val="en-ZA"/>
        </w:rPr>
        <w:t>標識回収のモニタリング</w:t>
      </w:r>
    </w:p>
    <w:p w14:paraId="2058EA4F" w14:textId="61B6784A" w:rsidR="00982765" w:rsidRPr="00625777" w:rsidRDefault="00166B63" w:rsidP="00982765">
      <w:pPr>
        <w:ind w:left="426"/>
        <w:rPr>
          <w:szCs w:val="24"/>
          <w:lang w:val="en-ZA"/>
        </w:rPr>
      </w:pPr>
      <w:r w:rsidRPr="00166B63">
        <w:rPr>
          <w:rFonts w:hint="eastAsia"/>
          <w:szCs w:val="24"/>
          <w:lang w:val="en-ZA"/>
        </w:rPr>
        <w:t>観察した標識回収数を、魚のサイズ・クラス別及び海域別に記録</w:t>
      </w:r>
      <w:r>
        <w:rPr>
          <w:rFonts w:hint="eastAsia"/>
          <w:szCs w:val="24"/>
          <w:lang w:val="en-ZA"/>
        </w:rPr>
        <w:t>。</w:t>
      </w:r>
    </w:p>
    <w:p w14:paraId="0E219B51" w14:textId="090020F0" w:rsidR="00982765" w:rsidRPr="00625777" w:rsidRDefault="00982765" w:rsidP="00625777">
      <w:pPr>
        <w:tabs>
          <w:tab w:val="left" w:pos="426"/>
        </w:tabs>
        <w:spacing w:before="120"/>
        <w:rPr>
          <w:b/>
          <w:szCs w:val="24"/>
          <w:lang w:val="en-ZA"/>
        </w:rPr>
      </w:pPr>
      <w:r w:rsidRPr="00625777">
        <w:rPr>
          <w:b/>
          <w:szCs w:val="24"/>
          <w:lang w:val="en-ZA"/>
        </w:rPr>
        <w:lastRenderedPageBreak/>
        <w:t>E.</w:t>
      </w:r>
      <w:r w:rsidRPr="00625777">
        <w:rPr>
          <w:b/>
          <w:szCs w:val="24"/>
          <w:lang w:val="en-ZA"/>
        </w:rPr>
        <w:tab/>
      </w:r>
      <w:r w:rsidR="00166B63" w:rsidRPr="00166B63">
        <w:rPr>
          <w:rFonts w:hint="eastAsia"/>
          <w:b/>
          <w:szCs w:val="24"/>
          <w:lang w:val="en-ZA"/>
        </w:rPr>
        <w:t>遭遇した問題</w:t>
      </w:r>
    </w:p>
    <w:p w14:paraId="3A501D66" w14:textId="44A5BB2D" w:rsidR="0096711D" w:rsidRPr="00625777" w:rsidRDefault="00166B63" w:rsidP="00166B63">
      <w:pPr>
        <w:widowControl/>
        <w:numPr>
          <w:ilvl w:val="0"/>
          <w:numId w:val="13"/>
        </w:numPr>
        <w:tabs>
          <w:tab w:val="left" w:pos="709"/>
        </w:tabs>
        <w:rPr>
          <w:szCs w:val="24"/>
          <w:lang w:val="en-ZA"/>
        </w:rPr>
      </w:pPr>
      <w:r w:rsidRPr="00166B63">
        <w:rPr>
          <w:rFonts w:hint="eastAsia"/>
          <w:szCs w:val="24"/>
          <w:lang w:val="en-ZA"/>
        </w:rPr>
        <w:t>オブザーバーもしくはオブザーバーの管理者が遭遇した問題で、</w:t>
      </w:r>
      <w:r w:rsidRPr="00166B63">
        <w:rPr>
          <w:szCs w:val="24"/>
          <w:lang w:val="en-ZA"/>
        </w:rPr>
        <w:t>CCSBT</w:t>
      </w:r>
      <w:r w:rsidRPr="00166B63">
        <w:rPr>
          <w:rFonts w:hint="eastAsia"/>
          <w:szCs w:val="24"/>
          <w:lang w:val="en-ZA"/>
        </w:rPr>
        <w:t>オブザーバー計画規範、もしくは規範に基づいて策定した各加盟国の国別オブザーバー計画に影響を及ぼす可能性のある事項の概要</w:t>
      </w:r>
      <w:r>
        <w:rPr>
          <w:rFonts w:hint="eastAsia"/>
          <w:szCs w:val="24"/>
          <w:lang w:val="en-ZA"/>
        </w:rPr>
        <w:t>。</w:t>
      </w:r>
    </w:p>
    <w:sectPr w:rsidR="0096711D" w:rsidRPr="00625777" w:rsidSect="007D441F">
      <w:pgSz w:w="11906" w:h="16838" w:code="9"/>
      <w:pgMar w:top="1418" w:right="1418" w:bottom="1418" w:left="1418" w:header="851" w:footer="851" w:gutter="0"/>
      <w:cols w:space="425"/>
      <w:titlePg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036B6" w14:textId="77777777" w:rsidR="00332194" w:rsidRDefault="00332194" w:rsidP="00517340">
      <w:r>
        <w:separator/>
      </w:r>
    </w:p>
  </w:endnote>
  <w:endnote w:type="continuationSeparator" w:id="0">
    <w:p w14:paraId="68F1EE50" w14:textId="77777777" w:rsidR="00332194" w:rsidRDefault="00332194" w:rsidP="00517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43988" w14:textId="77777777" w:rsidR="00332194" w:rsidRDefault="00332194" w:rsidP="00517340">
      <w:r>
        <w:separator/>
      </w:r>
    </w:p>
  </w:footnote>
  <w:footnote w:type="continuationSeparator" w:id="0">
    <w:p w14:paraId="0C9392BF" w14:textId="77777777" w:rsidR="00332194" w:rsidRDefault="00332194" w:rsidP="00517340">
      <w:r>
        <w:continuationSeparator/>
      </w:r>
    </w:p>
  </w:footnote>
  <w:footnote w:id="1">
    <w:p w14:paraId="699574D9" w14:textId="03547DC7" w:rsidR="00827EE4" w:rsidRPr="00D65B6A" w:rsidRDefault="00827EE4" w:rsidP="00827EE4">
      <w:pPr>
        <w:pStyle w:val="FootnoteText"/>
        <w:spacing w:line="240" w:lineRule="exact"/>
        <w:rPr>
          <w:sz w:val="18"/>
          <w:szCs w:val="18"/>
          <w:lang w:val="en-AU"/>
        </w:rPr>
      </w:pPr>
      <w:r w:rsidRPr="00D65B6A">
        <w:rPr>
          <w:rStyle w:val="FootnoteReference"/>
          <w:sz w:val="18"/>
          <w:szCs w:val="18"/>
        </w:rPr>
        <w:footnoteRef/>
      </w:r>
      <w:r w:rsidRPr="00D65B6A"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  <w:lang w:val="en-AU"/>
        </w:rPr>
        <w:t>CCSBT</w:t>
      </w:r>
      <w:r>
        <w:rPr>
          <w:rFonts w:hint="eastAsia"/>
          <w:sz w:val="18"/>
          <w:szCs w:val="18"/>
          <w:lang w:val="en-AU"/>
        </w:rPr>
        <w:t>科学オブザーバー計画規範のセクション</w:t>
      </w:r>
      <w:r>
        <w:rPr>
          <w:rFonts w:hint="eastAsia"/>
          <w:sz w:val="18"/>
          <w:szCs w:val="18"/>
          <w:lang w:val="en-AU"/>
        </w:rPr>
        <w:t>11</w:t>
      </w:r>
      <w:r>
        <w:rPr>
          <w:rFonts w:hint="eastAsia"/>
          <w:sz w:val="18"/>
          <w:szCs w:val="18"/>
          <w:lang w:val="en-AU"/>
        </w:rPr>
        <w:t>及び別紙</w:t>
      </w:r>
      <w:r>
        <w:rPr>
          <w:rFonts w:hint="eastAsia"/>
          <w:sz w:val="18"/>
          <w:szCs w:val="18"/>
          <w:lang w:val="en-AU"/>
        </w:rPr>
        <w:t>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01A5C"/>
    <w:multiLevelType w:val="hybridMultilevel"/>
    <w:tmpl w:val="D30AA3F2"/>
    <w:lvl w:ilvl="0" w:tplc="0608BA10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B70F4"/>
    <w:multiLevelType w:val="hybridMultilevel"/>
    <w:tmpl w:val="446C4FAA"/>
    <w:lvl w:ilvl="0" w:tplc="BBDEE0E4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B6876"/>
    <w:multiLevelType w:val="hybridMultilevel"/>
    <w:tmpl w:val="6EDC737C"/>
    <w:lvl w:ilvl="0" w:tplc="BBDEE0E4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9025A"/>
    <w:multiLevelType w:val="hybridMultilevel"/>
    <w:tmpl w:val="A98E1D96"/>
    <w:lvl w:ilvl="0" w:tplc="14090001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4" w15:restartNumberingAfterBreak="0">
    <w:nsid w:val="3D495864"/>
    <w:multiLevelType w:val="hybridMultilevel"/>
    <w:tmpl w:val="7E62F550"/>
    <w:lvl w:ilvl="0" w:tplc="BBDEE0E4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77837"/>
    <w:multiLevelType w:val="hybridMultilevel"/>
    <w:tmpl w:val="590697F2"/>
    <w:lvl w:ilvl="0" w:tplc="BBDEE0E4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17D1C"/>
    <w:multiLevelType w:val="hybridMultilevel"/>
    <w:tmpl w:val="CFF0B2D6"/>
    <w:lvl w:ilvl="0" w:tplc="BBDEE0E4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96B49"/>
    <w:multiLevelType w:val="hybridMultilevel"/>
    <w:tmpl w:val="22D00C36"/>
    <w:lvl w:ilvl="0" w:tplc="A3D6ECCA">
      <w:start w:val="1"/>
      <w:numFmt w:val="bullet"/>
      <w:lvlText w:val="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2561B"/>
    <w:multiLevelType w:val="hybridMultilevel"/>
    <w:tmpl w:val="08E44F2C"/>
    <w:lvl w:ilvl="0" w:tplc="1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73D0949"/>
    <w:multiLevelType w:val="hybridMultilevel"/>
    <w:tmpl w:val="CA723102"/>
    <w:lvl w:ilvl="0" w:tplc="BBDEE0E4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F3207"/>
    <w:multiLevelType w:val="hybridMultilevel"/>
    <w:tmpl w:val="51801DC6"/>
    <w:lvl w:ilvl="0" w:tplc="BBDEE0E4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3204C"/>
    <w:multiLevelType w:val="hybridMultilevel"/>
    <w:tmpl w:val="6C0C75E6"/>
    <w:lvl w:ilvl="0" w:tplc="BBDEE0E4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974B5"/>
    <w:multiLevelType w:val="hybridMultilevel"/>
    <w:tmpl w:val="18084B34"/>
    <w:lvl w:ilvl="0" w:tplc="BBDEE0E4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4707C"/>
    <w:multiLevelType w:val="hybridMultilevel"/>
    <w:tmpl w:val="0D42DA34"/>
    <w:lvl w:ilvl="0" w:tplc="BBDEE0E4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85014C"/>
    <w:multiLevelType w:val="hybridMultilevel"/>
    <w:tmpl w:val="DA4E64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6D1703"/>
    <w:multiLevelType w:val="hybridMultilevel"/>
    <w:tmpl w:val="F04AFBBC"/>
    <w:lvl w:ilvl="0" w:tplc="1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6" w15:restartNumberingAfterBreak="0">
    <w:nsid w:val="7DBF6DA6"/>
    <w:multiLevelType w:val="hybridMultilevel"/>
    <w:tmpl w:val="4238BCC8"/>
    <w:lvl w:ilvl="0" w:tplc="BBDEE0E4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3"/>
  </w:num>
  <w:num w:numId="4">
    <w:abstractNumId w:val="9"/>
  </w:num>
  <w:num w:numId="5">
    <w:abstractNumId w:val="6"/>
  </w:num>
  <w:num w:numId="6">
    <w:abstractNumId w:val="2"/>
  </w:num>
  <w:num w:numId="7">
    <w:abstractNumId w:val="10"/>
  </w:num>
  <w:num w:numId="8">
    <w:abstractNumId w:val="1"/>
  </w:num>
  <w:num w:numId="9">
    <w:abstractNumId w:val="7"/>
  </w:num>
  <w:num w:numId="10">
    <w:abstractNumId w:val="4"/>
  </w:num>
  <w:num w:numId="11">
    <w:abstractNumId w:val="11"/>
  </w:num>
  <w:num w:numId="12">
    <w:abstractNumId w:val="5"/>
  </w:num>
  <w:num w:numId="13">
    <w:abstractNumId w:val="12"/>
  </w:num>
  <w:num w:numId="14">
    <w:abstractNumId w:val="15"/>
  </w:num>
  <w:num w:numId="15">
    <w:abstractNumId w:val="3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54"/>
  <w:drawingGridHorizontalSpacing w:val="120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632"/>
    <w:rsid w:val="000137A5"/>
    <w:rsid w:val="00030C29"/>
    <w:rsid w:val="000372BC"/>
    <w:rsid w:val="00045638"/>
    <w:rsid w:val="00046FB7"/>
    <w:rsid w:val="00060843"/>
    <w:rsid w:val="00115097"/>
    <w:rsid w:val="00136D0D"/>
    <w:rsid w:val="00141ADF"/>
    <w:rsid w:val="00166B63"/>
    <w:rsid w:val="001821C2"/>
    <w:rsid w:val="002001AC"/>
    <w:rsid w:val="002134A5"/>
    <w:rsid w:val="002240BF"/>
    <w:rsid w:val="002823AA"/>
    <w:rsid w:val="002A0EAB"/>
    <w:rsid w:val="00332194"/>
    <w:rsid w:val="00397B28"/>
    <w:rsid w:val="003B4017"/>
    <w:rsid w:val="003D2F9E"/>
    <w:rsid w:val="00454094"/>
    <w:rsid w:val="004729BD"/>
    <w:rsid w:val="00517340"/>
    <w:rsid w:val="00566BD2"/>
    <w:rsid w:val="00587AB4"/>
    <w:rsid w:val="005A0C1D"/>
    <w:rsid w:val="005B40C4"/>
    <w:rsid w:val="00625777"/>
    <w:rsid w:val="00661A53"/>
    <w:rsid w:val="00685632"/>
    <w:rsid w:val="006C0D53"/>
    <w:rsid w:val="00737F6C"/>
    <w:rsid w:val="007665A2"/>
    <w:rsid w:val="007B364A"/>
    <w:rsid w:val="007C1F1D"/>
    <w:rsid w:val="007D0929"/>
    <w:rsid w:val="007D441F"/>
    <w:rsid w:val="007E652E"/>
    <w:rsid w:val="00823267"/>
    <w:rsid w:val="00827EE4"/>
    <w:rsid w:val="0083622B"/>
    <w:rsid w:val="00885823"/>
    <w:rsid w:val="008D283B"/>
    <w:rsid w:val="00917828"/>
    <w:rsid w:val="00927422"/>
    <w:rsid w:val="00930864"/>
    <w:rsid w:val="00955A21"/>
    <w:rsid w:val="0096711D"/>
    <w:rsid w:val="00982765"/>
    <w:rsid w:val="00983A73"/>
    <w:rsid w:val="009B26BD"/>
    <w:rsid w:val="009C2AA0"/>
    <w:rsid w:val="00A027D4"/>
    <w:rsid w:val="00A2223D"/>
    <w:rsid w:val="00A22EC9"/>
    <w:rsid w:val="00A230D7"/>
    <w:rsid w:val="00A25F07"/>
    <w:rsid w:val="00A41465"/>
    <w:rsid w:val="00A86EFE"/>
    <w:rsid w:val="00B146F2"/>
    <w:rsid w:val="00B30CF7"/>
    <w:rsid w:val="00BA3AD7"/>
    <w:rsid w:val="00BC6416"/>
    <w:rsid w:val="00C00F2F"/>
    <w:rsid w:val="00C75AD9"/>
    <w:rsid w:val="00C91EA7"/>
    <w:rsid w:val="00D30E6B"/>
    <w:rsid w:val="00D65B6A"/>
    <w:rsid w:val="00DB70DC"/>
    <w:rsid w:val="00E2166F"/>
    <w:rsid w:val="00E35F5B"/>
    <w:rsid w:val="00E35F9A"/>
    <w:rsid w:val="00EC2B60"/>
    <w:rsid w:val="00F45A28"/>
    <w:rsid w:val="00FD62B3"/>
    <w:rsid w:val="00FD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8610C3"/>
  <w15:chartTrackingRefBased/>
  <w15:docId w15:val="{82CEED74-E9FB-409A-9521-B7151E5F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="Times New Roman" w:hAnsi="Times New Roman"/>
      <w:kern w:val="2"/>
      <w:sz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MS Mincho" w:hAnsi="Courier New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7340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517340"/>
    <w:rPr>
      <w:rFonts w:ascii="Times New Roman" w:hAnsi="Times New Roman"/>
      <w:kern w:val="2"/>
      <w:lang w:val="en-US" w:eastAsia="ja-JP"/>
    </w:rPr>
  </w:style>
  <w:style w:type="character" w:styleId="FootnoteReference">
    <w:name w:val="footnote reference"/>
    <w:uiPriority w:val="99"/>
    <w:semiHidden/>
    <w:unhideWhenUsed/>
    <w:rsid w:val="005173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6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B26BD"/>
    <w:rPr>
      <w:rFonts w:ascii="Segoe UI" w:hAnsi="Segoe UI" w:cs="Segoe UI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F354880AD9344B4FC6563A8EECB7E" ma:contentTypeVersion="19" ma:contentTypeDescription="Create a new document." ma:contentTypeScope="" ma:versionID="1971d9281bc088e517d9a9b35304b903">
  <xsd:schema xmlns:xsd="http://www.w3.org/2001/XMLSchema" xmlns:xs="http://www.w3.org/2001/XMLSchema" xmlns:p="http://schemas.microsoft.com/office/2006/metadata/properties" xmlns:ns2="7b1e06ad-c3e7-45c6-b957-45fbdf599fae" xmlns:ns3="50d2eedd-d9f8-4348-9d61-6b8df6d39618" xmlns:ns4="a7140ebd-c936-4a75-ab53-56e13bb4872e" targetNamespace="http://schemas.microsoft.com/office/2006/metadata/properties" ma:root="true" ma:fieldsID="a14211f0a63361ec536dd237f6ca25dd" ns2:_="" ns3:_="" ns4:_="">
    <xsd:import namespace="7b1e06ad-c3e7-45c6-b957-45fbdf599fae"/>
    <xsd:import namespace="50d2eedd-d9f8-4348-9d61-6b8df6d39618"/>
    <xsd:import namespace="a7140ebd-c936-4a75-ab53-56e13bb4872e"/>
    <xsd:element name="properties">
      <xsd:complexType>
        <xsd:sequence>
          <xsd:element name="documentManagement">
            <xsd:complexType>
              <xsd:all>
                <xsd:element ref="ns2:b6223bce7dc04af4b883f15e4a9fa70c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e06ad-c3e7-45c6-b957-45fbdf599fae" elementFormDefault="qualified">
    <xsd:import namespace="http://schemas.microsoft.com/office/2006/documentManagement/types"/>
    <xsd:import namespace="http://schemas.microsoft.com/office/infopath/2007/PartnerControls"/>
    <xsd:element name="b6223bce7dc04af4b883f15e4a9fa70c" ma:index="9" nillable="true" ma:taxonomy="true" ma:internalName="b6223bce7dc04af4b883f15e4a9fa70c" ma:taxonomyFieldName="Document_x0020_Type" ma:displayName="Content Type" ma:readOnly="false" ma:default="" ma:fieldId="{b6223bce-7dc0-4af4-b883-f15e4a9fa70c}" ma:sspId="1109dfbf-cbb0-48ac-8ac5-d4bc9d235e92" ma:termSetId="befd835f-498e-4a5d-8d74-790fc5addb6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2eedd-d9f8-4348-9d61-6b8df6d3961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66a84a6-3064-4dcf-80e3-ccfc55f0d214}" ma:internalName="TaxCatchAll" ma:showField="CatchAllData" ma:web="50d2eedd-d9f8-4348-9d61-6b8df6d396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40ebd-c936-4a75-ab53-56e13bb48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6223bce7dc04af4b883f15e4a9fa70c xmlns="7b1e06ad-c3e7-45c6-b957-45fbdf599f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 Report</TermName>
          <TermId xmlns="http://schemas.microsoft.com/office/infopath/2007/PartnerControls">6fdcebed-118a-421f-b09f-b95289399d03</TermId>
        </TermInfo>
      </Terms>
    </b6223bce7dc04af4b883f15e4a9fa70c>
    <TaxCatchAll xmlns="50d2eedd-d9f8-4348-9d61-6b8df6d39618">
      <Value>8</Value>
    </TaxCatchAl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E5320-37CE-43C2-B849-D8AB34DB6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e06ad-c3e7-45c6-b957-45fbdf599fae"/>
    <ds:schemaRef ds:uri="50d2eedd-d9f8-4348-9d61-6b8df6d39618"/>
    <ds:schemaRef ds:uri="a7140ebd-c936-4a75-ab53-56e13bb48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6626D3-B4CD-419C-90A2-1470BC7BCB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110CBE-C74D-4EAC-9273-0F030F2FC696}">
  <ds:schemaRefs>
    <ds:schemaRef ds:uri="http://schemas.microsoft.com/office/2006/metadata/properties"/>
    <ds:schemaRef ds:uri="http://schemas.microsoft.com/office/infopath/2007/PartnerControls"/>
    <ds:schemaRef ds:uri="7b1e06ad-c3e7-45c6-b957-45fbdf599fae"/>
    <ds:schemaRef ds:uri="50d2eedd-d9f8-4348-9d61-6b8df6d39618"/>
  </ds:schemaRefs>
</ds:datastoreItem>
</file>

<file path=customXml/itemProps4.xml><?xml version="1.0" encoding="utf-8"?>
<ds:datastoreItem xmlns:ds="http://schemas.openxmlformats.org/officeDocument/2006/customXml" ds:itemID="{6BEAD835-D64E-4044-8D33-E61422F3E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2167</Words>
  <Characters>147</Characters>
  <Application>Microsoft Office Word</Application>
  <DocSecurity>0</DocSecurity>
  <Lines>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2: Format for Presenting Country Fishery Reviews</vt:lpstr>
    </vt:vector>
  </TitlesOfParts>
  <Company>CCSBT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2: Format for Presenting Country Fishery Reviews</dc:title>
  <dc:subject/>
  <dc:creator>New Zealand</dc:creator>
  <cp:keywords/>
  <dc:description/>
  <cp:lastModifiedBy>Akira Soma</cp:lastModifiedBy>
  <cp:revision>41</cp:revision>
  <dcterms:created xsi:type="dcterms:W3CDTF">2017-08-29T08:07:00Z</dcterms:created>
  <dcterms:modified xsi:type="dcterms:W3CDTF">2019-11-04T22:49:00Z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0x010100463F354880AD9344B4FC6563A8EECB7E</vt:lpwstr>
  </property>
  <property fmtid="{D5CDD505-2E9C-101B-9397-08002B2CF9AE}" pid="3" name="Document Type">
    <vt:lpwstr>8;#Meeting Report|6fdcebed-118a-421f-b09f-b95289399d03</vt:lpwstr>
  </property>
</Properties>
</file>